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34CE7" w14:textId="77777777" w:rsidR="006359EE" w:rsidRDefault="006359E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35A1EFE" w14:textId="77777777" w:rsidR="006359EE" w:rsidRDefault="00F54BEC">
      <w:pPr>
        <w:pStyle w:val="Heading1"/>
        <w:spacing w:before="219" w:line="278" w:lineRule="auto"/>
        <w:ind w:left="2584" w:right="1613"/>
        <w:rPr>
          <w:b w:val="0"/>
          <w:bCs w:val="0"/>
        </w:rPr>
      </w:pPr>
      <w:r>
        <w:t xml:space="preserve">External </w:t>
      </w:r>
      <w:r>
        <w:rPr>
          <w:spacing w:val="2"/>
        </w:rPr>
        <w:t xml:space="preserve">Examiners </w:t>
      </w:r>
      <w:r>
        <w:t>and</w:t>
      </w:r>
      <w:r>
        <w:rPr>
          <w:spacing w:val="-37"/>
        </w:rPr>
        <w:t xml:space="preserve"> </w:t>
      </w:r>
      <w:r>
        <w:t xml:space="preserve">Assessors </w:t>
      </w:r>
      <w:r>
        <w:rPr>
          <w:spacing w:val="-17"/>
        </w:rPr>
        <w:t>Fee</w:t>
      </w:r>
      <w:r>
        <w:rPr>
          <w:spacing w:val="-47"/>
        </w:rPr>
        <w:t xml:space="preserve"> </w:t>
      </w:r>
      <w:r>
        <w:rPr>
          <w:spacing w:val="-17"/>
        </w:rPr>
        <w:t>and</w:t>
      </w:r>
      <w:r>
        <w:rPr>
          <w:spacing w:val="-46"/>
        </w:rPr>
        <w:t xml:space="preserve"> </w:t>
      </w:r>
      <w:r>
        <w:rPr>
          <w:spacing w:val="-5"/>
        </w:rPr>
        <w:t>Travel</w:t>
      </w:r>
      <w:r>
        <w:rPr>
          <w:spacing w:val="-18"/>
        </w:rPr>
        <w:t xml:space="preserve"> </w:t>
      </w:r>
      <w:r>
        <w:t>Expenses</w:t>
      </w:r>
      <w:r>
        <w:rPr>
          <w:spacing w:val="-23"/>
        </w:rPr>
        <w:t xml:space="preserve"> </w:t>
      </w:r>
      <w:r>
        <w:t>Guidelines</w:t>
      </w:r>
    </w:p>
    <w:p w14:paraId="6363F7BF" w14:textId="77777777" w:rsidR="006359EE" w:rsidRDefault="006359EE">
      <w:pPr>
        <w:spacing w:before="1"/>
        <w:rPr>
          <w:rFonts w:ascii="Arial" w:eastAsia="Arial" w:hAnsi="Arial" w:cs="Arial"/>
          <w:b/>
          <w:bCs/>
          <w:sz w:val="33"/>
          <w:szCs w:val="33"/>
        </w:rPr>
      </w:pPr>
    </w:p>
    <w:p w14:paraId="0D2455CC" w14:textId="77777777" w:rsidR="006359EE" w:rsidRDefault="00F54BEC">
      <w:pPr>
        <w:pStyle w:val="BodyText"/>
        <w:ind w:right="115"/>
        <w:jc w:val="both"/>
      </w:pPr>
      <w:r>
        <w:t xml:space="preserve">External Assessors and Examiners shall normally be paid </w:t>
      </w:r>
      <w:r>
        <w:rPr>
          <w:u w:val="single" w:color="000000"/>
        </w:rPr>
        <w:t xml:space="preserve">one </w:t>
      </w:r>
      <w:r>
        <w:t xml:space="preserve">specified </w:t>
      </w:r>
      <w:r>
        <w:rPr>
          <w:b/>
        </w:rPr>
        <w:t xml:space="preserve">fee </w:t>
      </w:r>
      <w:r>
        <w:t xml:space="preserve">per academic year for the work they undertake and be reimbursed for </w:t>
      </w:r>
      <w:r>
        <w:rPr>
          <w:b/>
        </w:rPr>
        <w:t xml:space="preserve">expenses </w:t>
      </w:r>
      <w:r>
        <w:t>they incur in providing the</w:t>
      </w:r>
      <w:r>
        <w:rPr>
          <w:spacing w:val="-27"/>
        </w:rPr>
        <w:t xml:space="preserve"> </w:t>
      </w:r>
      <w:r>
        <w:t>service.</w:t>
      </w:r>
    </w:p>
    <w:p w14:paraId="45FC2CCE" w14:textId="7A727CDF" w:rsidR="006359EE" w:rsidRDefault="00F54BEC">
      <w:pPr>
        <w:pStyle w:val="BodyText"/>
        <w:spacing w:before="175"/>
        <w:jc w:val="both"/>
      </w:pPr>
      <w:r>
        <w:t>All</w:t>
      </w:r>
      <w:r>
        <w:rPr>
          <w:spacing w:val="-6"/>
        </w:rPr>
        <w:t xml:space="preserve"> </w:t>
      </w:r>
      <w:r>
        <w:t>rates</w:t>
      </w:r>
      <w:r>
        <w:rPr>
          <w:spacing w:val="-5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effective</w:t>
      </w:r>
      <w:r>
        <w:rPr>
          <w:spacing w:val="-8"/>
        </w:rPr>
        <w:t xml:space="preserve"> </w:t>
      </w:r>
      <w:r w:rsidR="00ED706A">
        <w:t>per DPER Circulars issued</w:t>
      </w:r>
      <w:r>
        <w:rPr>
          <w:b/>
          <w:spacing w:val="-10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subject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change</w:t>
      </w:r>
      <w:r>
        <w:rPr>
          <w:spacing w:val="-4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line</w:t>
      </w:r>
      <w:r>
        <w:rPr>
          <w:spacing w:val="-4"/>
        </w:rPr>
        <w:t xml:space="preserve"> </w:t>
      </w:r>
      <w:r>
        <w:t>with</w:t>
      </w:r>
      <w:r>
        <w:rPr>
          <w:spacing w:val="-7"/>
        </w:rPr>
        <w:t xml:space="preserve"> </w:t>
      </w:r>
      <w:r w:rsidR="00AE2EE2">
        <w:t>TU DUBLIN</w:t>
      </w:r>
      <w:r>
        <w:rPr>
          <w:spacing w:val="-6"/>
        </w:rPr>
        <w:t xml:space="preserve"> </w:t>
      </w:r>
      <w:r>
        <w:t>policy¹.</w:t>
      </w:r>
    </w:p>
    <w:p w14:paraId="764FAF6D" w14:textId="77777777" w:rsidR="006359EE" w:rsidRDefault="006359EE">
      <w:pPr>
        <w:rPr>
          <w:rFonts w:ascii="Calibri" w:eastAsia="Calibri" w:hAnsi="Calibri" w:cs="Calibri"/>
        </w:rPr>
      </w:pPr>
    </w:p>
    <w:p w14:paraId="6A09EB92" w14:textId="496191BE" w:rsidR="006359EE" w:rsidRDefault="00F54BEC">
      <w:pPr>
        <w:ind w:left="100" w:right="113"/>
        <w:jc w:val="both"/>
        <w:rPr>
          <w:rFonts w:ascii="Calibri" w:eastAsia="Calibri" w:hAnsi="Calibri" w:cs="Calibri"/>
        </w:rPr>
      </w:pPr>
      <w:r>
        <w:rPr>
          <w:rFonts w:ascii="Calibri" w:hAnsi="Calibri"/>
        </w:rPr>
        <w:t xml:space="preserve">Following initial set-up with </w:t>
      </w:r>
      <w:r w:rsidR="00AE2EE2">
        <w:rPr>
          <w:rFonts w:ascii="Calibri" w:hAnsi="Calibri"/>
        </w:rPr>
        <w:t>TU DUBLIN</w:t>
      </w:r>
      <w:r>
        <w:rPr>
          <w:rFonts w:ascii="Calibri" w:hAnsi="Calibri"/>
        </w:rPr>
        <w:t xml:space="preserve"> and upon submission of the External Examiner Report Form  (External Examiners) or attendance at a review or validation panel event (Assessors), fee and travel expenses should be claimed on the </w:t>
      </w:r>
      <w:r>
        <w:rPr>
          <w:rFonts w:ascii="Calibri" w:hAnsi="Calibri"/>
          <w:b/>
        </w:rPr>
        <w:t xml:space="preserve">P8 </w:t>
      </w:r>
      <w:r w:rsidR="00AE2EE2">
        <w:rPr>
          <w:rFonts w:ascii="Calibri" w:hAnsi="Calibri"/>
          <w:b/>
        </w:rPr>
        <w:t>TU DUBLIN</w:t>
      </w:r>
      <w:r>
        <w:rPr>
          <w:rFonts w:ascii="Calibri" w:hAnsi="Calibri"/>
          <w:b/>
        </w:rPr>
        <w:t xml:space="preserve"> External Examiners/Assessors Fee &amp; Expense Claim</w:t>
      </w:r>
      <w:r>
        <w:rPr>
          <w:rFonts w:ascii="Calibri" w:hAnsi="Calibri"/>
          <w:b/>
          <w:spacing w:val="-25"/>
        </w:rPr>
        <w:t xml:space="preserve"> </w:t>
      </w:r>
      <w:r>
        <w:rPr>
          <w:rFonts w:ascii="Calibri" w:hAnsi="Calibri"/>
          <w:b/>
        </w:rPr>
        <w:t>Form</w:t>
      </w:r>
      <w:r>
        <w:rPr>
          <w:rFonts w:ascii="Calibri" w:hAnsi="Calibri"/>
        </w:rPr>
        <w:t>².</w:t>
      </w:r>
    </w:p>
    <w:p w14:paraId="199F2D5D" w14:textId="77777777" w:rsidR="006359EE" w:rsidRDefault="006359EE">
      <w:pPr>
        <w:rPr>
          <w:rFonts w:ascii="Calibri" w:eastAsia="Calibri" w:hAnsi="Calibri" w:cs="Calibri"/>
        </w:rPr>
      </w:pPr>
    </w:p>
    <w:p w14:paraId="0A9BFCCA" w14:textId="77777777" w:rsidR="006359EE" w:rsidRDefault="006359EE">
      <w:pPr>
        <w:spacing w:before="2"/>
        <w:rPr>
          <w:rFonts w:ascii="Calibri" w:eastAsia="Calibri" w:hAnsi="Calibri" w:cs="Calibri"/>
        </w:rPr>
      </w:pPr>
    </w:p>
    <w:p w14:paraId="1D3D871C" w14:textId="77777777" w:rsidR="006359EE" w:rsidRDefault="00F54BEC">
      <w:pPr>
        <w:pStyle w:val="Heading1"/>
        <w:ind w:firstLine="0"/>
        <w:jc w:val="both"/>
        <w:rPr>
          <w:rFonts w:ascii="Calibri" w:eastAsia="Calibri" w:hAnsi="Calibri" w:cs="Calibri"/>
          <w:b w:val="0"/>
          <w:bCs w:val="0"/>
        </w:rPr>
      </w:pPr>
      <w:r>
        <w:rPr>
          <w:rFonts w:ascii="Calibri"/>
          <w:u w:val="thick" w:color="000000"/>
        </w:rPr>
        <w:t>NOTES</w:t>
      </w:r>
    </w:p>
    <w:p w14:paraId="5C74F9B6" w14:textId="77777777" w:rsidR="006359EE" w:rsidRDefault="006359EE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0E9CB255" w14:textId="77777777" w:rsidR="006359EE" w:rsidRDefault="006359EE">
      <w:pPr>
        <w:spacing w:before="4"/>
        <w:rPr>
          <w:rFonts w:ascii="Calibri" w:eastAsia="Calibri" w:hAnsi="Calibri" w:cs="Calibri"/>
          <w:b/>
          <w:bCs/>
          <w:sz w:val="16"/>
          <w:szCs w:val="16"/>
        </w:rPr>
      </w:pPr>
    </w:p>
    <w:p w14:paraId="2C7219FB" w14:textId="77777777" w:rsidR="006359EE" w:rsidRDefault="00F54BEC">
      <w:pPr>
        <w:pStyle w:val="Heading2"/>
        <w:numPr>
          <w:ilvl w:val="0"/>
          <w:numId w:val="1"/>
        </w:numPr>
        <w:tabs>
          <w:tab w:val="left" w:pos="492"/>
        </w:tabs>
        <w:jc w:val="left"/>
        <w:rPr>
          <w:b w:val="0"/>
          <w:bCs w:val="0"/>
        </w:rPr>
      </w:pPr>
      <w:r>
        <w:t>Fee</w:t>
      </w:r>
    </w:p>
    <w:p w14:paraId="305B8761" w14:textId="77777777" w:rsidR="006359EE" w:rsidRDefault="00F54BEC">
      <w:pPr>
        <w:pStyle w:val="BodyText"/>
        <w:spacing w:before="248"/>
        <w:ind w:right="56"/>
      </w:pPr>
      <w:r>
        <w:t xml:space="preserve">The fee currently applying is </w:t>
      </w:r>
      <w:r>
        <w:rPr>
          <w:rFonts w:cs="Calibri"/>
        </w:rPr>
        <w:t xml:space="preserve">€550. </w:t>
      </w:r>
      <w:r>
        <w:t>Fee payments will be made under deduction of all relevant</w:t>
      </w:r>
      <w:r>
        <w:rPr>
          <w:spacing w:val="3"/>
        </w:rPr>
        <w:t xml:space="preserve"> </w:t>
      </w:r>
      <w:r>
        <w:t>taxes.</w:t>
      </w:r>
    </w:p>
    <w:p w14:paraId="42655BDF" w14:textId="77777777" w:rsidR="006359EE" w:rsidRDefault="006359EE">
      <w:pPr>
        <w:rPr>
          <w:rFonts w:ascii="Calibri" w:eastAsia="Calibri" w:hAnsi="Calibri" w:cs="Calibri"/>
        </w:rPr>
      </w:pPr>
    </w:p>
    <w:p w14:paraId="4582465D" w14:textId="77777777" w:rsidR="006359EE" w:rsidRDefault="00F54BEC">
      <w:pPr>
        <w:pStyle w:val="Heading2"/>
        <w:numPr>
          <w:ilvl w:val="0"/>
          <w:numId w:val="1"/>
        </w:numPr>
        <w:tabs>
          <w:tab w:val="left" w:pos="492"/>
        </w:tabs>
        <w:spacing w:before="140"/>
        <w:jc w:val="left"/>
        <w:rPr>
          <w:b w:val="0"/>
          <w:bCs w:val="0"/>
        </w:rPr>
      </w:pPr>
      <w:r>
        <w:t>Travel</w:t>
      </w:r>
      <w:r>
        <w:rPr>
          <w:spacing w:val="-24"/>
        </w:rPr>
        <w:t xml:space="preserve"> </w:t>
      </w:r>
      <w:r>
        <w:t>Reimbursement</w:t>
      </w:r>
    </w:p>
    <w:p w14:paraId="31D23B26" w14:textId="77777777" w:rsidR="006359EE" w:rsidRDefault="00F54BEC">
      <w:pPr>
        <w:pStyle w:val="BodyText"/>
        <w:spacing w:before="238"/>
        <w:ind w:right="442"/>
      </w:pPr>
      <w:r>
        <w:t>Reasonable travelling expenses shall be payable to External Assessors/Examiners on the provision of valid original</w:t>
      </w:r>
      <w:r>
        <w:rPr>
          <w:spacing w:val="-8"/>
        </w:rPr>
        <w:t xml:space="preserve"> </w:t>
      </w:r>
      <w:r>
        <w:t>receipts.</w:t>
      </w:r>
    </w:p>
    <w:p w14:paraId="6933E0B7" w14:textId="77777777" w:rsidR="006359EE" w:rsidRDefault="006359EE">
      <w:pPr>
        <w:rPr>
          <w:rFonts w:ascii="Calibri" w:eastAsia="Calibri" w:hAnsi="Calibri" w:cs="Calibri"/>
        </w:rPr>
      </w:pPr>
    </w:p>
    <w:p w14:paraId="0640CA5D" w14:textId="77777777" w:rsidR="006359EE" w:rsidRDefault="00F54BEC">
      <w:pPr>
        <w:pStyle w:val="BodyText"/>
        <w:ind w:right="1613"/>
      </w:pPr>
      <w:r>
        <w:t>For travel within Ireland, public transport should be</w:t>
      </w:r>
      <w:r>
        <w:rPr>
          <w:spacing w:val="-17"/>
        </w:rPr>
        <w:t xml:space="preserve"> </w:t>
      </w:r>
      <w:r>
        <w:t>claimed.</w:t>
      </w:r>
    </w:p>
    <w:p w14:paraId="7EA00B40" w14:textId="77777777" w:rsidR="006359EE" w:rsidRDefault="006359EE">
      <w:pPr>
        <w:rPr>
          <w:rFonts w:ascii="Calibri" w:eastAsia="Calibri" w:hAnsi="Calibri" w:cs="Calibri"/>
        </w:rPr>
      </w:pPr>
    </w:p>
    <w:p w14:paraId="5CDCA2AA" w14:textId="77777777" w:rsidR="006359EE" w:rsidRDefault="00F54BEC">
      <w:pPr>
        <w:pStyle w:val="BodyText"/>
        <w:ind w:right="56"/>
      </w:pPr>
      <w:r>
        <w:t>In exceptional circumstances, where it is not feasible to use public transport, private cars may be</w:t>
      </w:r>
      <w:r>
        <w:rPr>
          <w:spacing w:val="-30"/>
        </w:rPr>
        <w:t xml:space="preserve"> </w:t>
      </w:r>
      <w:r>
        <w:t>used,</w:t>
      </w:r>
    </w:p>
    <w:p w14:paraId="17593CE3" w14:textId="0AF036ED" w:rsidR="006359EE" w:rsidRDefault="00F54BEC">
      <w:pPr>
        <w:ind w:left="100" w:right="56"/>
        <w:rPr>
          <w:rFonts w:ascii="Calibri" w:eastAsia="Calibri" w:hAnsi="Calibri" w:cs="Calibri"/>
        </w:rPr>
      </w:pPr>
      <w:r>
        <w:rPr>
          <w:rFonts w:ascii="Calibri"/>
          <w:b/>
        </w:rPr>
        <w:t xml:space="preserve">with prior approval </w:t>
      </w:r>
      <w:r>
        <w:rPr>
          <w:rFonts w:ascii="Calibri"/>
          <w:b/>
          <w:i/>
        </w:rPr>
        <w:t>(contact the relevant School)</w:t>
      </w:r>
      <w:r>
        <w:rPr>
          <w:rFonts w:ascii="Calibri"/>
        </w:rPr>
        <w:t xml:space="preserve">.  The </w:t>
      </w:r>
      <w:r w:rsidR="00AE2EE2">
        <w:rPr>
          <w:rFonts w:ascii="Calibri"/>
        </w:rPr>
        <w:t>TU DUBLIN</w:t>
      </w:r>
      <w:r>
        <w:rPr>
          <w:rFonts w:ascii="Calibri"/>
        </w:rPr>
        <w:t xml:space="preserve"> reduced mileage rates will be</w:t>
      </w:r>
      <w:r>
        <w:rPr>
          <w:rFonts w:ascii="Calibri"/>
          <w:spacing w:val="-33"/>
        </w:rPr>
        <w:t xml:space="preserve"> </w:t>
      </w:r>
      <w:r>
        <w:rPr>
          <w:rFonts w:ascii="Calibri"/>
        </w:rPr>
        <w:t>applied</w:t>
      </w:r>
      <w:r w:rsidR="00A72426">
        <w:rPr>
          <w:rFonts w:ascii="Calibri"/>
        </w:rPr>
        <w:t xml:space="preserve"> from </w:t>
      </w:r>
      <w:r w:rsidR="00A72426" w:rsidRPr="00ED706A">
        <w:rPr>
          <w:rFonts w:ascii="Calibri"/>
          <w:b/>
          <w:bCs/>
        </w:rPr>
        <w:t>1</w:t>
      </w:r>
      <w:r w:rsidR="00A72426" w:rsidRPr="00ED706A">
        <w:rPr>
          <w:rFonts w:ascii="Calibri"/>
          <w:b/>
          <w:bCs/>
          <w:vertAlign w:val="superscript"/>
        </w:rPr>
        <w:t>st</w:t>
      </w:r>
      <w:r w:rsidR="00A72426" w:rsidRPr="00ED706A">
        <w:rPr>
          <w:rFonts w:ascii="Calibri"/>
          <w:b/>
          <w:bCs/>
        </w:rPr>
        <w:t xml:space="preserve"> September 2022</w:t>
      </w:r>
      <w:r w:rsidR="00ED706A" w:rsidRPr="00ED706A">
        <w:rPr>
          <w:rFonts w:ascii="Calibri"/>
          <w:vertAlign w:val="superscript"/>
        </w:rPr>
        <w:t>3</w:t>
      </w:r>
      <w:r>
        <w:rPr>
          <w:rFonts w:ascii="Calibri"/>
        </w:rPr>
        <w:t>:</w:t>
      </w:r>
    </w:p>
    <w:p w14:paraId="55817DDF" w14:textId="77777777" w:rsidR="006359EE" w:rsidRDefault="006359EE">
      <w:pPr>
        <w:spacing w:before="11"/>
        <w:rPr>
          <w:rFonts w:ascii="Calibri" w:eastAsia="Calibri" w:hAnsi="Calibri" w:cs="Calibri"/>
          <w:sz w:val="21"/>
          <w:szCs w:val="21"/>
        </w:rPr>
      </w:pPr>
    </w:p>
    <w:tbl>
      <w:tblPr>
        <w:tblW w:w="0" w:type="auto"/>
        <w:tblInd w:w="28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93"/>
        <w:gridCol w:w="1649"/>
      </w:tblGrid>
      <w:tr w:rsidR="006359EE" w14:paraId="3146B6E2" w14:textId="77777777">
        <w:trPr>
          <w:trHeight w:hRule="exact" w:val="329"/>
        </w:trPr>
        <w:tc>
          <w:tcPr>
            <w:tcW w:w="229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3C6B0B2" w14:textId="77777777" w:rsidR="006359EE" w:rsidRDefault="00F54BEC">
            <w:pPr>
              <w:pStyle w:val="TableParagraph"/>
              <w:spacing w:before="88"/>
              <w:ind w:left="20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  <w:u w:val="thick" w:color="000000"/>
              </w:rPr>
              <w:t>PER KM</w:t>
            </w:r>
            <w:r>
              <w:rPr>
                <w:rFonts w:ascii="Arial"/>
                <w:b/>
                <w:spacing w:val="-3"/>
                <w:sz w:val="20"/>
                <w:u w:val="thick" w:color="000000"/>
              </w:rPr>
              <w:t xml:space="preserve"> </w:t>
            </w:r>
            <w:r>
              <w:rPr>
                <w:rFonts w:ascii="Arial"/>
                <w:b/>
                <w:sz w:val="20"/>
                <w:u w:val="thick" w:color="000000"/>
              </w:rPr>
              <w:t>RATES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590F4" w14:textId="77777777" w:rsidR="006359EE" w:rsidRDefault="00F54BEC">
            <w:pPr>
              <w:pStyle w:val="TableParagraph"/>
              <w:spacing w:before="81"/>
              <w:ind w:right="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EUR€</w:t>
            </w:r>
          </w:p>
        </w:tc>
      </w:tr>
      <w:tr w:rsidR="006359EE" w14:paraId="6750EE45" w14:textId="77777777">
        <w:trPr>
          <w:trHeight w:hRule="exact" w:val="325"/>
        </w:trPr>
        <w:tc>
          <w:tcPr>
            <w:tcW w:w="229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0E2D891" w14:textId="77777777" w:rsidR="006359EE" w:rsidRDefault="00F54BEC">
            <w:pPr>
              <w:pStyle w:val="TableParagraph"/>
              <w:spacing w:before="84"/>
              <w:ind w:left="20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Under</w:t>
            </w:r>
            <w:r>
              <w:rPr>
                <w:rFonts w:ascii="Arial"/>
                <w:b/>
                <w:spacing w:val="-7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1200cc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AEBB3" w14:textId="65B33258" w:rsidR="006359EE" w:rsidRDefault="00A72426">
            <w:pPr>
              <w:pStyle w:val="TableParagraph"/>
              <w:spacing w:before="79"/>
              <w:ind w:right="4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21.23</w:t>
            </w:r>
            <w:r w:rsidR="00F54BEC">
              <w:rPr>
                <w:rFonts w:ascii="Arial"/>
                <w:b/>
                <w:sz w:val="20"/>
              </w:rPr>
              <w:t>c</w:t>
            </w:r>
          </w:p>
        </w:tc>
      </w:tr>
      <w:tr w:rsidR="006359EE" w14:paraId="647C14FE" w14:textId="77777777">
        <w:trPr>
          <w:trHeight w:hRule="exact" w:val="326"/>
        </w:trPr>
        <w:tc>
          <w:tcPr>
            <w:tcW w:w="229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6D1B3E8" w14:textId="77777777" w:rsidR="006359EE" w:rsidRDefault="00F54BEC">
            <w:pPr>
              <w:pStyle w:val="TableParagraph"/>
              <w:spacing w:before="86"/>
              <w:ind w:left="20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1201 to</w:t>
            </w:r>
            <w:r>
              <w:rPr>
                <w:rFonts w:ascii="Arial"/>
                <w:b/>
                <w:spacing w:val="-7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1500cc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F9D8D" w14:textId="68658D48" w:rsidR="006359EE" w:rsidRDefault="00A72426">
            <w:pPr>
              <w:pStyle w:val="TableParagraph"/>
              <w:spacing w:before="81"/>
              <w:ind w:right="4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23.80</w:t>
            </w:r>
            <w:r w:rsidR="00F54BEC">
              <w:rPr>
                <w:rFonts w:ascii="Arial"/>
                <w:b/>
                <w:sz w:val="20"/>
              </w:rPr>
              <w:t>c</w:t>
            </w:r>
          </w:p>
        </w:tc>
      </w:tr>
      <w:tr w:rsidR="006359EE" w14:paraId="32549DBD" w14:textId="77777777">
        <w:trPr>
          <w:trHeight w:hRule="exact" w:val="326"/>
        </w:trPr>
        <w:tc>
          <w:tcPr>
            <w:tcW w:w="229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73E4E43" w14:textId="77777777" w:rsidR="006359EE" w:rsidRDefault="00F54BEC">
            <w:pPr>
              <w:pStyle w:val="TableParagraph"/>
              <w:spacing w:before="83"/>
              <w:ind w:left="20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1501cc and</w:t>
            </w:r>
            <w:r>
              <w:rPr>
                <w:rFonts w:asci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over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D08B9" w14:textId="1AD5C7AA" w:rsidR="006359EE" w:rsidRDefault="00A72426">
            <w:pPr>
              <w:pStyle w:val="TableParagraph"/>
              <w:spacing w:before="79"/>
              <w:ind w:right="4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sz w:val="20"/>
              </w:rPr>
              <w:t>25.96</w:t>
            </w:r>
            <w:r w:rsidR="00F54BEC">
              <w:rPr>
                <w:rFonts w:ascii="Arial"/>
                <w:b/>
                <w:sz w:val="20"/>
              </w:rPr>
              <w:t>c</w:t>
            </w:r>
          </w:p>
        </w:tc>
      </w:tr>
    </w:tbl>
    <w:p w14:paraId="7334314D" w14:textId="77777777" w:rsidR="006359EE" w:rsidRDefault="006359EE">
      <w:pPr>
        <w:spacing w:before="12"/>
        <w:rPr>
          <w:rFonts w:ascii="Calibri" w:eastAsia="Calibri" w:hAnsi="Calibri" w:cs="Calibri"/>
          <w:sz w:val="16"/>
          <w:szCs w:val="16"/>
        </w:rPr>
      </w:pPr>
    </w:p>
    <w:p w14:paraId="3454486A" w14:textId="77777777" w:rsidR="006359EE" w:rsidRDefault="00F54BEC">
      <w:pPr>
        <w:spacing w:before="56"/>
        <w:ind w:left="100" w:right="56"/>
        <w:rPr>
          <w:rFonts w:ascii="Calibri" w:eastAsia="Calibri" w:hAnsi="Calibri" w:cs="Calibri"/>
        </w:rPr>
      </w:pPr>
      <w:r>
        <w:rPr>
          <w:rFonts w:ascii="Calibri"/>
        </w:rPr>
        <w:t xml:space="preserve">For travel from outside Ireland, economy fares should be obtained. </w:t>
      </w:r>
      <w:r>
        <w:rPr>
          <w:rFonts w:ascii="Calibri"/>
          <w:b/>
        </w:rPr>
        <w:t>Business /First Class travel is not reimbursable</w:t>
      </w:r>
      <w:r>
        <w:rPr>
          <w:rFonts w:ascii="Calibri"/>
        </w:rPr>
        <w:t>.</w:t>
      </w:r>
    </w:p>
    <w:p w14:paraId="206AE4A6" w14:textId="77777777" w:rsidR="006359EE" w:rsidRDefault="006359EE">
      <w:pPr>
        <w:rPr>
          <w:rFonts w:ascii="Calibri" w:eastAsia="Calibri" w:hAnsi="Calibri" w:cs="Calibri"/>
        </w:rPr>
      </w:pPr>
    </w:p>
    <w:p w14:paraId="3FD27B7D" w14:textId="77777777" w:rsidR="006359EE" w:rsidRDefault="00F54BEC">
      <w:pPr>
        <w:pStyle w:val="BodyText"/>
        <w:ind w:right="56"/>
      </w:pPr>
      <w:r>
        <w:t>Reimbursements will only be made for properly supported claims (e.g. original receipts for</w:t>
      </w:r>
      <w:r>
        <w:rPr>
          <w:spacing w:val="-30"/>
        </w:rPr>
        <w:t xml:space="preserve"> </w:t>
      </w:r>
      <w:r>
        <w:t>economy flight costs, train/bus travel costs, and taxi fares, when it is not feasible to use public</w:t>
      </w:r>
      <w:r>
        <w:rPr>
          <w:spacing w:val="-32"/>
        </w:rPr>
        <w:t xml:space="preserve"> </w:t>
      </w:r>
      <w:r>
        <w:t>transport).</w:t>
      </w:r>
    </w:p>
    <w:p w14:paraId="08D83352" w14:textId="77777777" w:rsidR="006359EE" w:rsidRDefault="006359EE">
      <w:pPr>
        <w:sectPr w:rsidR="006359EE">
          <w:headerReference w:type="default" r:id="rId7"/>
          <w:footerReference w:type="default" r:id="rId8"/>
          <w:type w:val="continuous"/>
          <w:pgSz w:w="11900" w:h="16860"/>
          <w:pgMar w:top="1480" w:right="1460" w:bottom="1660" w:left="920" w:header="720" w:footer="1474" w:gutter="0"/>
          <w:pgNumType w:start="1"/>
          <w:cols w:space="720"/>
        </w:sectPr>
      </w:pPr>
    </w:p>
    <w:p w14:paraId="69357A26" w14:textId="77777777" w:rsidR="006359EE" w:rsidRDefault="006359EE">
      <w:pPr>
        <w:rPr>
          <w:rFonts w:ascii="Calibri" w:eastAsia="Calibri" w:hAnsi="Calibri" w:cs="Calibri"/>
          <w:sz w:val="20"/>
          <w:szCs w:val="20"/>
        </w:rPr>
      </w:pPr>
    </w:p>
    <w:p w14:paraId="439BE7D6" w14:textId="77777777" w:rsidR="006359EE" w:rsidRDefault="006359EE">
      <w:pPr>
        <w:spacing w:before="9"/>
        <w:rPr>
          <w:rFonts w:ascii="Calibri" w:eastAsia="Calibri" w:hAnsi="Calibri" w:cs="Calibri"/>
          <w:sz w:val="25"/>
          <w:szCs w:val="25"/>
        </w:rPr>
      </w:pPr>
    </w:p>
    <w:p w14:paraId="4F19C306" w14:textId="77777777" w:rsidR="006359EE" w:rsidRDefault="00F54BEC">
      <w:pPr>
        <w:pStyle w:val="Heading2"/>
        <w:numPr>
          <w:ilvl w:val="0"/>
          <w:numId w:val="1"/>
        </w:numPr>
        <w:tabs>
          <w:tab w:val="left" w:pos="760"/>
        </w:tabs>
        <w:ind w:left="759" w:hanging="267"/>
        <w:jc w:val="left"/>
        <w:rPr>
          <w:b w:val="0"/>
          <w:bCs w:val="0"/>
        </w:rPr>
      </w:pPr>
      <w:r>
        <w:rPr>
          <w:spacing w:val="-6"/>
        </w:rPr>
        <w:t>Accommodation/Subsistence</w:t>
      </w:r>
    </w:p>
    <w:p w14:paraId="2A5BA58E" w14:textId="3C77E4A2" w:rsidR="006359EE" w:rsidRDefault="00F54BEC">
      <w:pPr>
        <w:pStyle w:val="BodyText"/>
        <w:spacing w:before="245" w:after="3"/>
        <w:ind w:left="380" w:right="275"/>
        <w:jc w:val="both"/>
      </w:pPr>
      <w:r>
        <w:t xml:space="preserve">Normally, Schools will book hotel accommodation for Examiners. In the event that an Examiner books his/her own hotel accommodation, the Institute will reimburse the cost of accommodation and meals at the </w:t>
      </w:r>
      <w:r w:rsidR="00AE2EE2">
        <w:t>TU DUBLIN</w:t>
      </w:r>
      <w:r>
        <w:t xml:space="preserve"> Normal Overnight Rate</w:t>
      </w:r>
      <w:r w:rsidR="00A72426">
        <w:t xml:space="preserve"> </w:t>
      </w:r>
      <w:r w:rsidR="00A72426" w:rsidRPr="00ED706A">
        <w:rPr>
          <w:b/>
          <w:bCs/>
        </w:rPr>
        <w:t>applicable from 14</w:t>
      </w:r>
      <w:r w:rsidR="00A72426" w:rsidRPr="00ED706A">
        <w:rPr>
          <w:b/>
          <w:bCs/>
          <w:vertAlign w:val="superscript"/>
        </w:rPr>
        <w:t>th</w:t>
      </w:r>
      <w:r w:rsidR="00A72426" w:rsidRPr="00ED706A">
        <w:rPr>
          <w:b/>
          <w:bCs/>
        </w:rPr>
        <w:t xml:space="preserve"> December 2023</w:t>
      </w:r>
      <w:r w:rsidR="00ED706A" w:rsidRPr="00ED706A">
        <w:rPr>
          <w:vertAlign w:val="superscript"/>
        </w:rPr>
        <w:t>4</w:t>
      </w:r>
      <w:r>
        <w:t xml:space="preserve">, for each </w:t>
      </w:r>
      <w:r w:rsidR="00A72426">
        <w:t>24-hour</w:t>
      </w:r>
      <w:r>
        <w:t xml:space="preserve"> period of the</w:t>
      </w:r>
      <w:r>
        <w:rPr>
          <w:spacing w:val="-22"/>
        </w:rPr>
        <w:t xml:space="preserve"> </w:t>
      </w:r>
      <w:r>
        <w:t>visit.</w:t>
      </w:r>
    </w:p>
    <w:tbl>
      <w:tblPr>
        <w:tblW w:w="0" w:type="auto"/>
        <w:tblInd w:w="28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13"/>
        <w:gridCol w:w="1133"/>
      </w:tblGrid>
      <w:tr w:rsidR="006359EE" w14:paraId="6CE6DE08" w14:textId="77777777">
        <w:trPr>
          <w:trHeight w:hRule="exact" w:val="324"/>
        </w:trPr>
        <w:tc>
          <w:tcPr>
            <w:tcW w:w="381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8EB1367" w14:textId="77777777" w:rsidR="006359EE" w:rsidRDefault="00F54BEC">
            <w:pPr>
              <w:pStyle w:val="TableParagraph"/>
              <w:spacing w:before="47"/>
              <w:ind w:left="200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u w:val="single" w:color="000000"/>
              </w:rPr>
              <w:t>SUBSISTENCE</w:t>
            </w:r>
            <w:r>
              <w:rPr>
                <w:rFonts w:ascii="Calibri"/>
                <w:b/>
                <w:spacing w:val="-8"/>
                <w:u w:val="single" w:color="000000"/>
              </w:rPr>
              <w:t xml:space="preserve"> </w:t>
            </w:r>
            <w:r>
              <w:rPr>
                <w:rFonts w:ascii="Calibri"/>
                <w:b/>
                <w:u w:val="single" w:color="000000"/>
              </w:rPr>
              <w:t>RATES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40F97" w14:textId="77777777" w:rsidR="006359EE" w:rsidRDefault="00F54BEC">
            <w:pPr>
              <w:pStyle w:val="TableParagraph"/>
              <w:spacing w:before="42"/>
              <w:ind w:left="29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EUR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€</w:t>
            </w:r>
          </w:p>
        </w:tc>
      </w:tr>
      <w:tr w:rsidR="006359EE" w14:paraId="70CE55A4" w14:textId="77777777">
        <w:trPr>
          <w:trHeight w:hRule="exact" w:val="324"/>
        </w:trPr>
        <w:tc>
          <w:tcPr>
            <w:tcW w:w="381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FE0D25D" w14:textId="77777777" w:rsidR="006359EE" w:rsidRDefault="00F54BEC">
            <w:pPr>
              <w:pStyle w:val="TableParagraph"/>
              <w:spacing w:before="49"/>
              <w:ind w:left="200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Normal Overnight Rate (24</w:t>
            </w:r>
            <w:r>
              <w:rPr>
                <w:rFonts w:ascii="Calibri"/>
                <w:b/>
                <w:spacing w:val="-14"/>
              </w:rPr>
              <w:t xml:space="preserve"> </w:t>
            </w:r>
            <w:r>
              <w:rPr>
                <w:rFonts w:ascii="Calibri"/>
                <w:b/>
              </w:rPr>
              <w:t>hours)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3248F" w14:textId="09A6175E" w:rsidR="006359EE" w:rsidRDefault="00A72426">
            <w:pPr>
              <w:pStyle w:val="TableParagraph"/>
              <w:spacing w:before="45"/>
              <w:ind w:left="251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195.00</w:t>
            </w:r>
          </w:p>
        </w:tc>
      </w:tr>
      <w:tr w:rsidR="006359EE" w14:paraId="52F725EB" w14:textId="77777777">
        <w:trPr>
          <w:trHeight w:hRule="exact" w:val="326"/>
        </w:trPr>
        <w:tc>
          <w:tcPr>
            <w:tcW w:w="381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6B870A9" w14:textId="77777777" w:rsidR="006359EE" w:rsidRDefault="00F54BEC">
            <w:pPr>
              <w:pStyle w:val="TableParagraph"/>
              <w:spacing w:before="49"/>
              <w:ind w:left="200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Day Rate (10 hours and</w:t>
            </w:r>
            <w:r>
              <w:rPr>
                <w:rFonts w:ascii="Calibri"/>
                <w:b/>
                <w:spacing w:val="-11"/>
              </w:rPr>
              <w:t xml:space="preserve"> </w:t>
            </w:r>
            <w:r>
              <w:rPr>
                <w:rFonts w:ascii="Calibri"/>
                <w:b/>
              </w:rPr>
              <w:t>over)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6D571" w14:textId="746B7270" w:rsidR="006359EE" w:rsidRDefault="00A72426">
            <w:pPr>
              <w:pStyle w:val="TableParagraph"/>
              <w:spacing w:before="45"/>
              <w:ind w:left="309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42.99</w:t>
            </w:r>
          </w:p>
        </w:tc>
      </w:tr>
      <w:tr w:rsidR="006359EE" w14:paraId="15DA924F" w14:textId="77777777">
        <w:trPr>
          <w:trHeight w:hRule="exact" w:val="325"/>
        </w:trPr>
        <w:tc>
          <w:tcPr>
            <w:tcW w:w="381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E76885A" w14:textId="77777777" w:rsidR="006359EE" w:rsidRDefault="00F54BEC">
            <w:pPr>
              <w:pStyle w:val="TableParagraph"/>
              <w:spacing w:before="47"/>
              <w:ind w:left="200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Day Rate (over 5, less than 10</w:t>
            </w:r>
            <w:r>
              <w:rPr>
                <w:rFonts w:ascii="Calibri"/>
                <w:b/>
                <w:spacing w:val="-15"/>
              </w:rPr>
              <w:t xml:space="preserve"> </w:t>
            </w:r>
            <w:r>
              <w:rPr>
                <w:rFonts w:ascii="Calibri"/>
                <w:b/>
              </w:rPr>
              <w:t>hours)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9D8AF" w14:textId="74EE122F" w:rsidR="006359EE" w:rsidRDefault="00F54BEC">
            <w:pPr>
              <w:pStyle w:val="TableParagraph"/>
              <w:spacing w:before="42"/>
              <w:ind w:left="309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1</w:t>
            </w:r>
            <w:r w:rsidR="00A72426">
              <w:rPr>
                <w:rFonts w:ascii="Calibri"/>
                <w:b/>
              </w:rPr>
              <w:t>7.92</w:t>
            </w:r>
          </w:p>
        </w:tc>
      </w:tr>
    </w:tbl>
    <w:p w14:paraId="7D2BA747" w14:textId="77777777" w:rsidR="006359EE" w:rsidRDefault="006359EE">
      <w:pPr>
        <w:spacing w:before="9"/>
        <w:rPr>
          <w:rFonts w:ascii="Calibri" w:eastAsia="Calibri" w:hAnsi="Calibri" w:cs="Calibri"/>
          <w:sz w:val="19"/>
          <w:szCs w:val="19"/>
        </w:rPr>
      </w:pPr>
    </w:p>
    <w:p w14:paraId="0EBD530B" w14:textId="77777777" w:rsidR="006359EE" w:rsidRDefault="00F54BEC">
      <w:pPr>
        <w:pStyle w:val="BodyText"/>
        <w:spacing w:before="56"/>
        <w:ind w:left="380" w:right="418"/>
        <w:rPr>
          <w:rFonts w:cs="Calibri"/>
        </w:rPr>
      </w:pPr>
      <w:r>
        <w:t>Where claimants cannot source accommodation within this rate (Dublin only), ad</w:t>
      </w:r>
      <w:r w:rsidR="00AE2EE2">
        <w:t>dit</w:t>
      </w:r>
      <w:r>
        <w:t xml:space="preserve">ional costs, </w:t>
      </w:r>
      <w:r>
        <w:rPr>
          <w:rFonts w:cs="Calibri"/>
        </w:rPr>
        <w:t>supported by receipts, will be reimbursed to an overall maximum value (or “VA Rate”) of the Normal Overnight Rate plus the “10 hours or more” Day</w:t>
      </w:r>
      <w:r>
        <w:rPr>
          <w:rFonts w:cs="Calibri"/>
          <w:spacing w:val="-12"/>
        </w:rPr>
        <w:t xml:space="preserve"> </w:t>
      </w:r>
      <w:r>
        <w:rPr>
          <w:rFonts w:cs="Calibri"/>
        </w:rPr>
        <w:t>Rate.</w:t>
      </w:r>
    </w:p>
    <w:p w14:paraId="10279767" w14:textId="77777777" w:rsidR="006359EE" w:rsidRDefault="006359EE">
      <w:pPr>
        <w:rPr>
          <w:rFonts w:ascii="Calibri" w:eastAsia="Calibri" w:hAnsi="Calibri" w:cs="Calibri"/>
        </w:rPr>
      </w:pPr>
    </w:p>
    <w:p w14:paraId="59E80C0E" w14:textId="77777777" w:rsidR="006359EE" w:rsidRDefault="00F54BEC">
      <w:pPr>
        <w:pStyle w:val="BodyText"/>
        <w:ind w:left="380" w:right="418"/>
      </w:pPr>
      <w:r>
        <w:t xml:space="preserve">Where receipts are not submitted, the relevant </w:t>
      </w:r>
      <w:r w:rsidR="00AE2EE2">
        <w:t>TU DUBLIN</w:t>
      </w:r>
      <w:r>
        <w:t xml:space="preserve"> Normal Overnight Rate will be</w:t>
      </w:r>
      <w:r>
        <w:rPr>
          <w:spacing w:val="-26"/>
        </w:rPr>
        <w:t xml:space="preserve"> </w:t>
      </w:r>
      <w:r>
        <w:t>applied.</w:t>
      </w:r>
    </w:p>
    <w:p w14:paraId="3623536C" w14:textId="77777777" w:rsidR="006359EE" w:rsidRDefault="006359EE">
      <w:pPr>
        <w:rPr>
          <w:rFonts w:ascii="Calibri" w:eastAsia="Calibri" w:hAnsi="Calibri" w:cs="Calibri"/>
        </w:rPr>
      </w:pPr>
    </w:p>
    <w:p w14:paraId="04442404" w14:textId="77777777" w:rsidR="006359EE" w:rsidRDefault="00F54BEC">
      <w:pPr>
        <w:pStyle w:val="Heading3"/>
        <w:ind w:right="418"/>
        <w:rPr>
          <w:b w:val="0"/>
          <w:bCs w:val="0"/>
        </w:rPr>
      </w:pPr>
      <w:r>
        <w:t>Overnight Subsistence</w:t>
      </w:r>
      <w:r>
        <w:rPr>
          <w:spacing w:val="-10"/>
        </w:rPr>
        <w:t xml:space="preserve"> </w:t>
      </w:r>
      <w:r>
        <w:t>Allowance:</w:t>
      </w:r>
    </w:p>
    <w:p w14:paraId="45264F65" w14:textId="77777777" w:rsidR="006359EE" w:rsidRDefault="00F54BEC">
      <w:pPr>
        <w:pStyle w:val="BodyText"/>
        <w:ind w:left="380" w:right="173"/>
      </w:pPr>
      <w:r>
        <w:t>Please note that an overnight allowance will not generally be payable for an absence within 100km of a cla</w:t>
      </w:r>
      <w:r>
        <w:rPr>
          <w:rFonts w:cs="Calibri"/>
        </w:rPr>
        <w:t xml:space="preserve">imant’s </w:t>
      </w:r>
      <w:r>
        <w:t>home or headquarters. However, in exceptional circumstances and where the Institute is satisfied that an operational need exists, a night allowance may be paid for an absence on duty at any place within the above distance limits but in excess of 50km of home or</w:t>
      </w:r>
      <w:r>
        <w:rPr>
          <w:spacing w:val="-18"/>
        </w:rPr>
        <w:t xml:space="preserve"> </w:t>
      </w:r>
      <w:r>
        <w:t>headquarters.</w:t>
      </w:r>
    </w:p>
    <w:p w14:paraId="69C0BA65" w14:textId="77777777" w:rsidR="006359EE" w:rsidRDefault="006359EE">
      <w:pPr>
        <w:rPr>
          <w:rFonts w:ascii="Calibri" w:eastAsia="Calibri" w:hAnsi="Calibri" w:cs="Calibri"/>
        </w:rPr>
      </w:pPr>
    </w:p>
    <w:p w14:paraId="21BB9354" w14:textId="77777777" w:rsidR="006359EE" w:rsidRDefault="00F54BEC">
      <w:pPr>
        <w:pStyle w:val="Heading3"/>
        <w:ind w:right="418"/>
        <w:rPr>
          <w:b w:val="0"/>
          <w:bCs w:val="0"/>
        </w:rPr>
      </w:pPr>
      <w:r>
        <w:t>Day Subsistence</w:t>
      </w:r>
      <w:r>
        <w:rPr>
          <w:spacing w:val="-7"/>
        </w:rPr>
        <w:t xml:space="preserve"> </w:t>
      </w:r>
      <w:r>
        <w:t>Rates:</w:t>
      </w:r>
    </w:p>
    <w:p w14:paraId="340FC0CD" w14:textId="77777777" w:rsidR="006359EE" w:rsidRDefault="00F54BEC">
      <w:pPr>
        <w:pStyle w:val="BodyText"/>
        <w:ind w:left="380" w:right="100"/>
      </w:pPr>
      <w:r>
        <w:t xml:space="preserve">Please note that a day allowance is not payable for any absence at any place within 8kms of </w:t>
      </w:r>
      <w:r>
        <w:rPr>
          <w:rFonts w:cs="Calibri"/>
        </w:rPr>
        <w:t xml:space="preserve">a claimant’s </w:t>
      </w:r>
      <w:r>
        <w:t>home or</w:t>
      </w:r>
      <w:r>
        <w:rPr>
          <w:spacing w:val="-5"/>
        </w:rPr>
        <w:t xml:space="preserve"> </w:t>
      </w:r>
      <w:r>
        <w:t>headquarters.</w:t>
      </w:r>
    </w:p>
    <w:p w14:paraId="5B6456A8" w14:textId="77777777" w:rsidR="006359EE" w:rsidRDefault="006359EE">
      <w:pPr>
        <w:rPr>
          <w:rFonts w:ascii="Calibri" w:eastAsia="Calibri" w:hAnsi="Calibri" w:cs="Calibri"/>
        </w:rPr>
      </w:pPr>
    </w:p>
    <w:p w14:paraId="335D513C" w14:textId="77777777" w:rsidR="006359EE" w:rsidRDefault="006359EE">
      <w:pPr>
        <w:spacing w:before="4"/>
        <w:rPr>
          <w:rFonts w:ascii="Calibri" w:eastAsia="Calibri" w:hAnsi="Calibri" w:cs="Calibri"/>
        </w:rPr>
      </w:pPr>
    </w:p>
    <w:p w14:paraId="1E023B59" w14:textId="77777777" w:rsidR="006359EE" w:rsidRDefault="00F54BEC">
      <w:pPr>
        <w:pStyle w:val="Heading2"/>
        <w:numPr>
          <w:ilvl w:val="0"/>
          <w:numId w:val="1"/>
        </w:numPr>
        <w:tabs>
          <w:tab w:val="left" w:pos="380"/>
        </w:tabs>
        <w:spacing w:before="0"/>
        <w:ind w:left="380"/>
        <w:jc w:val="left"/>
        <w:rPr>
          <w:b w:val="0"/>
          <w:bCs w:val="0"/>
        </w:rPr>
      </w:pPr>
      <w:r>
        <w:t>Currency of</w:t>
      </w:r>
      <w:r>
        <w:rPr>
          <w:spacing w:val="-11"/>
        </w:rPr>
        <w:t xml:space="preserve"> </w:t>
      </w:r>
      <w:r>
        <w:t>Payment</w:t>
      </w:r>
    </w:p>
    <w:p w14:paraId="56AB82EC" w14:textId="77777777" w:rsidR="006359EE" w:rsidRDefault="006359EE">
      <w:pPr>
        <w:spacing w:before="9"/>
        <w:rPr>
          <w:rFonts w:ascii="Calibri" w:eastAsia="Calibri" w:hAnsi="Calibri" w:cs="Calibri"/>
          <w:b/>
          <w:bCs/>
          <w:sz w:val="21"/>
          <w:szCs w:val="21"/>
        </w:rPr>
      </w:pPr>
    </w:p>
    <w:p w14:paraId="0CCA7D6A" w14:textId="2B3800B0" w:rsidR="006359EE" w:rsidRDefault="00F54BEC">
      <w:pPr>
        <w:pStyle w:val="BodyText"/>
        <w:ind w:left="380" w:right="418"/>
      </w:pPr>
      <w:r>
        <w:t xml:space="preserve">The payment will be made by </w:t>
      </w:r>
      <w:r w:rsidR="00AE2EE2">
        <w:t>TU DUBLIN</w:t>
      </w:r>
      <w:r>
        <w:t xml:space="preserve"> in Euro </w:t>
      </w:r>
      <w:r>
        <w:rPr>
          <w:rFonts w:cs="Calibri"/>
        </w:rPr>
        <w:t>(€)</w:t>
      </w:r>
      <w:r>
        <w:t>. The exchange rate</w:t>
      </w:r>
      <w:r w:rsidR="00ED706A" w:rsidRPr="00ED706A">
        <w:rPr>
          <w:vertAlign w:val="superscript"/>
        </w:rPr>
        <w:t>5</w:t>
      </w:r>
      <w:r>
        <w:t xml:space="preserve"> to be used for currency conversion will be that applying on the date on which the expen</w:t>
      </w:r>
      <w:r w:rsidR="00AE2EE2">
        <w:t>dit</w:t>
      </w:r>
      <w:r>
        <w:t>ure was incurred i.e. the date on the</w:t>
      </w:r>
      <w:r>
        <w:rPr>
          <w:spacing w:val="-23"/>
        </w:rPr>
        <w:t xml:space="preserve"> </w:t>
      </w:r>
      <w:r>
        <w:t>receipt.</w:t>
      </w:r>
    </w:p>
    <w:p w14:paraId="4F3A11A4" w14:textId="77777777" w:rsidR="006359EE" w:rsidRDefault="006359EE">
      <w:pPr>
        <w:spacing w:before="1"/>
        <w:rPr>
          <w:rFonts w:ascii="Calibri" w:eastAsia="Calibri" w:hAnsi="Calibri" w:cs="Calibri"/>
        </w:rPr>
      </w:pPr>
    </w:p>
    <w:p w14:paraId="01C39B05" w14:textId="77777777" w:rsidR="006359EE" w:rsidRDefault="00F54BEC">
      <w:pPr>
        <w:pStyle w:val="BodyText"/>
        <w:ind w:left="380" w:right="418"/>
      </w:pPr>
      <w:r>
        <w:t>The amounts on a claim form should be entered in the currency of the</w:t>
      </w:r>
      <w:r>
        <w:rPr>
          <w:spacing w:val="-23"/>
        </w:rPr>
        <w:t xml:space="preserve"> </w:t>
      </w:r>
      <w:r>
        <w:t>receipt.</w:t>
      </w:r>
    </w:p>
    <w:p w14:paraId="481ECB82" w14:textId="77777777" w:rsidR="006359EE" w:rsidRDefault="006359EE">
      <w:pPr>
        <w:rPr>
          <w:rFonts w:ascii="Calibri" w:eastAsia="Calibri" w:hAnsi="Calibri" w:cs="Calibri"/>
        </w:rPr>
      </w:pPr>
    </w:p>
    <w:p w14:paraId="10253C2F" w14:textId="77777777" w:rsidR="00AE2EE2" w:rsidRDefault="00AE2EE2">
      <w:pPr>
        <w:rPr>
          <w:rFonts w:ascii="Calibri" w:eastAsia="Calibri" w:hAnsi="Calibri" w:cs="Calibri"/>
        </w:rPr>
      </w:pPr>
    </w:p>
    <w:p w14:paraId="7F828AD9" w14:textId="77777777" w:rsidR="006359EE" w:rsidRDefault="006359EE">
      <w:pPr>
        <w:spacing w:before="3"/>
        <w:rPr>
          <w:rFonts w:ascii="Calibri" w:eastAsia="Calibri" w:hAnsi="Calibri" w:cs="Calibri"/>
        </w:rPr>
      </w:pPr>
    </w:p>
    <w:p w14:paraId="4E159460" w14:textId="77777777" w:rsidR="006359EE" w:rsidRDefault="00F54BEC">
      <w:pPr>
        <w:ind w:left="380" w:right="418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</w:rPr>
        <w:t>¹</w:t>
      </w:r>
      <w:r w:rsidR="00AE2EE2">
        <w:rPr>
          <w:rFonts w:ascii="Calibri" w:eastAsia="Calibri" w:hAnsi="Calibri" w:cs="Calibri"/>
          <w:sz w:val="20"/>
          <w:szCs w:val="20"/>
        </w:rPr>
        <w:t>TU DUBLIN</w:t>
      </w:r>
      <w:r>
        <w:rPr>
          <w:rFonts w:ascii="Calibri" w:eastAsia="Calibri" w:hAnsi="Calibri" w:cs="Calibri"/>
          <w:sz w:val="20"/>
          <w:szCs w:val="20"/>
        </w:rPr>
        <w:t xml:space="preserve">’s </w:t>
      </w:r>
      <w:r>
        <w:rPr>
          <w:rFonts w:ascii="Calibri" w:eastAsia="Calibri" w:hAnsi="Calibri" w:cs="Calibri"/>
          <w:b/>
          <w:bCs/>
          <w:sz w:val="20"/>
          <w:szCs w:val="20"/>
        </w:rPr>
        <w:t xml:space="preserve">P8 Payments to External Assessors and Examiners </w:t>
      </w:r>
      <w:r>
        <w:rPr>
          <w:rFonts w:ascii="Calibri" w:eastAsia="Calibri" w:hAnsi="Calibri" w:cs="Calibri"/>
          <w:sz w:val="20"/>
          <w:szCs w:val="20"/>
        </w:rPr>
        <w:t>Policy</w:t>
      </w:r>
      <w:r>
        <w:rPr>
          <w:rFonts w:ascii="Calibri" w:eastAsia="Calibri" w:hAnsi="Calibri" w:cs="Calibri"/>
          <w:spacing w:val="-2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refers</w:t>
      </w:r>
    </w:p>
    <w:p w14:paraId="0E74469C" w14:textId="232ECFBC" w:rsidR="00ED706A" w:rsidRDefault="00F54BEC" w:rsidP="00ED706A">
      <w:pPr>
        <w:spacing w:before="60"/>
        <w:ind w:left="380" w:right="418"/>
        <w:rPr>
          <w:sz w:val="20"/>
          <w:szCs w:val="20"/>
        </w:rPr>
      </w:pPr>
      <w:r>
        <w:rPr>
          <w:rFonts w:ascii="Calibri" w:hAnsi="Calibri"/>
        </w:rPr>
        <w:t>²</w:t>
      </w:r>
      <w:r w:rsidR="00AE2EE2">
        <w:rPr>
          <w:rFonts w:ascii="Calibri" w:hAnsi="Calibri"/>
          <w:b/>
          <w:sz w:val="20"/>
        </w:rPr>
        <w:t>TU DUBLIN</w:t>
      </w:r>
      <w:r>
        <w:rPr>
          <w:rFonts w:ascii="Calibri" w:hAnsi="Calibri"/>
          <w:b/>
          <w:sz w:val="20"/>
        </w:rPr>
        <w:t xml:space="preserve"> External Examiners/Assessors Fee &amp; Expense Claim Form </w:t>
      </w:r>
      <w:r>
        <w:rPr>
          <w:rFonts w:ascii="Calibri" w:hAnsi="Calibri"/>
          <w:sz w:val="20"/>
        </w:rPr>
        <w:t>is found</w:t>
      </w:r>
      <w:r>
        <w:rPr>
          <w:rFonts w:ascii="Calibri" w:hAnsi="Calibri"/>
          <w:spacing w:val="-27"/>
          <w:sz w:val="20"/>
        </w:rPr>
        <w:t xml:space="preserve"> </w:t>
      </w:r>
      <w:hyperlink r:id="rId9" w:history="1">
        <w:r w:rsidR="00ED706A">
          <w:rPr>
            <w:rStyle w:val="Hyperlink"/>
            <w:sz w:val="20"/>
            <w:szCs w:val="20"/>
          </w:rPr>
          <w:t>here</w:t>
        </w:r>
      </w:hyperlink>
    </w:p>
    <w:p w14:paraId="2E74802B" w14:textId="53A471D1" w:rsidR="00ED706A" w:rsidRDefault="00ED706A" w:rsidP="00ED706A">
      <w:pPr>
        <w:spacing w:before="57"/>
        <w:ind w:left="380" w:right="418"/>
        <w:rPr>
          <w:rFonts w:ascii="Calibri" w:eastAsia="Calibri" w:hAnsi="Calibri" w:cs="Calibri"/>
          <w:sz w:val="20"/>
          <w:szCs w:val="20"/>
        </w:rPr>
      </w:pPr>
      <w:r w:rsidRPr="00ED706A">
        <w:rPr>
          <w:rFonts w:ascii="Calibri" w:eastAsia="Calibri" w:hAnsi="Calibri" w:cs="Calibri"/>
          <w:sz w:val="20"/>
          <w:szCs w:val="20"/>
          <w:vertAlign w:val="superscript"/>
        </w:rPr>
        <w:t>3</w:t>
      </w:r>
      <w:hyperlink r:id="rId10" w:history="1">
        <w:r>
          <w:rPr>
            <w:rStyle w:val="Hyperlink"/>
            <w:rFonts w:ascii="Calibri" w:eastAsia="Calibri" w:hAnsi="Calibri" w:cs="Calibri"/>
            <w:sz w:val="20"/>
            <w:szCs w:val="20"/>
          </w:rPr>
          <w:t>Revenue Motor Travel Rates from 01 Sept 2022</w:t>
        </w:r>
      </w:hyperlink>
    </w:p>
    <w:p w14:paraId="164349D7" w14:textId="3F2107A8" w:rsidR="00ED706A" w:rsidRPr="00ED706A" w:rsidRDefault="00ED706A" w:rsidP="00F249C1">
      <w:pPr>
        <w:spacing w:before="57"/>
        <w:ind w:left="380" w:right="418"/>
        <w:rPr>
          <w:rFonts w:ascii="Calibri" w:eastAsia="Calibri" w:hAnsi="Calibri" w:cs="Calibri"/>
          <w:sz w:val="20"/>
          <w:szCs w:val="20"/>
        </w:rPr>
      </w:pPr>
      <w:r w:rsidRPr="00ED706A">
        <w:rPr>
          <w:rFonts w:ascii="Calibri" w:eastAsia="Calibri" w:hAnsi="Calibri" w:cs="Calibri"/>
          <w:sz w:val="20"/>
          <w:szCs w:val="20"/>
          <w:vertAlign w:val="superscript"/>
        </w:rPr>
        <w:t>4</w:t>
      </w:r>
      <w:hyperlink r:id="rId11" w:history="1">
        <w:r>
          <w:rPr>
            <w:rStyle w:val="Hyperlink"/>
            <w:rFonts w:ascii="Calibri" w:eastAsia="Calibri" w:hAnsi="Calibri" w:cs="Calibri"/>
            <w:sz w:val="20"/>
            <w:szCs w:val="20"/>
          </w:rPr>
          <w:t>Revenue Domestic Subsistence Allowances from 14 Dec 2023</w:t>
        </w:r>
      </w:hyperlink>
    </w:p>
    <w:p w14:paraId="06D65812" w14:textId="0F31F77D" w:rsidR="006359EE" w:rsidRDefault="00ED706A">
      <w:pPr>
        <w:spacing w:before="57"/>
        <w:ind w:left="380" w:right="418"/>
        <w:rPr>
          <w:rFonts w:ascii="Calibri" w:hAnsi="Calibri"/>
          <w:color w:val="0000FF"/>
          <w:sz w:val="20"/>
          <w:u w:val="single" w:color="0000FF"/>
        </w:rPr>
      </w:pPr>
      <w:r w:rsidRPr="00ED706A">
        <w:rPr>
          <w:rFonts w:ascii="Calibri" w:hAnsi="Calibri"/>
          <w:vertAlign w:val="superscript"/>
        </w:rPr>
        <w:t>5</w:t>
      </w:r>
      <w:r w:rsidR="00F54BEC">
        <w:rPr>
          <w:rFonts w:ascii="Calibri" w:hAnsi="Calibri"/>
          <w:sz w:val="20"/>
        </w:rPr>
        <w:t>Exchange rate should be sourced at</w:t>
      </w:r>
      <w:r w:rsidR="00F54BEC">
        <w:rPr>
          <w:rFonts w:ascii="Calibri" w:hAnsi="Calibri"/>
          <w:spacing w:val="-20"/>
          <w:sz w:val="20"/>
        </w:rPr>
        <w:t xml:space="preserve"> </w:t>
      </w:r>
      <w:hyperlink r:id="rId12">
        <w:r w:rsidR="00F54BEC">
          <w:rPr>
            <w:rFonts w:ascii="Calibri" w:hAnsi="Calibri"/>
            <w:color w:val="0000FF"/>
            <w:sz w:val="20"/>
            <w:u w:val="single" w:color="0000FF"/>
          </w:rPr>
          <w:t>www.xe.com</w:t>
        </w:r>
      </w:hyperlink>
    </w:p>
    <w:p w14:paraId="728F2545" w14:textId="77777777" w:rsidR="00ED706A" w:rsidRDefault="00ED706A">
      <w:pPr>
        <w:spacing w:before="57"/>
        <w:ind w:left="380" w:right="418"/>
        <w:rPr>
          <w:rFonts w:ascii="Calibri" w:eastAsia="Calibri" w:hAnsi="Calibri" w:cs="Calibri"/>
          <w:sz w:val="20"/>
          <w:szCs w:val="20"/>
        </w:rPr>
      </w:pPr>
    </w:p>
    <w:sectPr w:rsidR="00ED706A">
      <w:pgSz w:w="11900" w:h="16860"/>
      <w:pgMar w:top="1480" w:right="1460" w:bottom="1660" w:left="640" w:header="720" w:footer="147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AA6166" w14:textId="77777777" w:rsidR="00F54BEC" w:rsidRDefault="00F54BEC">
      <w:r>
        <w:separator/>
      </w:r>
    </w:p>
  </w:endnote>
  <w:endnote w:type="continuationSeparator" w:id="0">
    <w:p w14:paraId="41D64EEB" w14:textId="77777777" w:rsidR="00F54BEC" w:rsidRDefault="00F54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D44BA" w14:textId="4948D7F6" w:rsidR="006359EE" w:rsidRDefault="00894D5F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8DE1839" wp14:editId="0DB08E1E">
              <wp:simplePos x="0" y="0"/>
              <wp:positionH relativeFrom="page">
                <wp:posOffset>6387465</wp:posOffset>
              </wp:positionH>
              <wp:positionV relativeFrom="page">
                <wp:posOffset>9615805</wp:posOffset>
              </wp:positionV>
              <wp:extent cx="121920" cy="165735"/>
              <wp:effectExtent l="0" t="0" r="0" b="635"/>
              <wp:wrapNone/>
              <wp:docPr id="214183748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541221" w14:textId="77777777" w:rsidR="006359EE" w:rsidRDefault="00F54BEC">
                          <w:pPr>
                            <w:pStyle w:val="BodyText"/>
                            <w:spacing w:line="245" w:lineRule="exact"/>
                            <w:ind w:left="4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E2EE2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DE183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02.95pt;margin-top:757.15pt;width:9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4iD1QEAAJADAAAOAAAAZHJzL2Uyb0RvYy54bWysU9tu1DAQfUfiHyy/s9ksaoFos1VpVYRU&#10;LlLhAxzHTiISj5nxbrJ8PWNnswX6VvFiTTzjM+ecmWyvpqEXB4PUgStlvlpLYZyGunNNKb9/u3v1&#10;VgoKytWqB2dKeTQkr3YvX2xHX5gNtNDXBgWDOCpGX8o2BF9kGenWDIpW4I3jpAUcVOBPbLIa1cjo&#10;Q59t1uvLbASsPYI2RHx7OyflLuFba3T4Yi2ZIPpSMreQTkxnFc9st1VFg8q3nT7RUM9gMajOcdMz&#10;1K0KSuyxewI1dBqBwIaVhiEDazttkgZWk6//UfPQKm+SFjaH/Nkm+n+w+vPhwX9FEab3MPEAkwjy&#10;96B/kHBw0yrXmGtEGFujam6cR8uy0VNxehqtpoIiSDV+gpqHrPYBEtBkcYiusE7B6DyA49l0MwWh&#10;Y8tN/m7DGc2p/PLizeuL1EEVy2OPFD4YGEQMSok80wSuDvcUIhlVLCWxl4O7ru/TXHv31wUXxptE&#10;PvKdmYepmrg6iqigPrIMhHlNeK05aAF/STHyipSSfu4VGin6j46tiPu0BLgE1RIop/lpKYMUc3gT&#10;5r3be+yalpFnsx1cs122S1IeWZx48tiTwtOKxr368ztVPf5Iu98AAAD//wMAUEsDBBQABgAIAAAA&#10;IQCEHsL+4gAAAA8BAAAPAAAAZHJzL2Rvd25yZXYueG1sTI/BTsMwEETvSPyDtZW4UTslqWgap6oQ&#10;nJAQaThwdBI3sRqvQ+y24e/ZnMptZ3c0+ybbTbZnFz1641BCtBTANNauMdhK+CrfHp+B+aCwUb1D&#10;LeFXe9jl93eZSht3xUJfDqFlFII+VRK6EIaUc1932iq/dINGuh3daFUgOba8GdWVwm3PV0KsuVUG&#10;6UOnBv3S6fp0OFsJ+28sXs3PR/VZHAtTlhuB7+uTlA+Lab8FFvQUbmaY8QkdcmKq3Bkbz3rSQiQb&#10;8tKURPETsNkjVkkErJp3sYiB5xn/3yP/AwAA//8DAFBLAQItABQABgAIAAAAIQC2gziS/gAAAOEB&#10;AAATAAAAAAAAAAAAAAAAAAAAAABbQ29udGVudF9UeXBlc10ueG1sUEsBAi0AFAAGAAgAAAAhADj9&#10;If/WAAAAlAEAAAsAAAAAAAAAAAAAAAAALwEAAF9yZWxzLy5yZWxzUEsBAi0AFAAGAAgAAAAhAGKT&#10;iIPVAQAAkAMAAA4AAAAAAAAAAAAAAAAALgIAAGRycy9lMm9Eb2MueG1sUEsBAi0AFAAGAAgAAAAh&#10;AIQewv7iAAAADwEAAA8AAAAAAAAAAAAAAAAALwQAAGRycy9kb3ducmV2LnhtbFBLBQYAAAAABAAE&#10;APMAAAA+BQAAAAA=&#10;" filled="f" stroked="f">
              <v:textbox inset="0,0,0,0">
                <w:txbxContent>
                  <w:p w14:paraId="6B541221" w14:textId="77777777" w:rsidR="006359EE" w:rsidRDefault="00F54BEC">
                    <w:pPr>
                      <w:pStyle w:val="BodyText"/>
                      <w:spacing w:line="245" w:lineRule="exact"/>
                      <w:ind w:left="4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AE2EE2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FACF60" w14:textId="77777777" w:rsidR="00F54BEC" w:rsidRDefault="00F54BEC">
      <w:r>
        <w:separator/>
      </w:r>
    </w:p>
  </w:footnote>
  <w:footnote w:type="continuationSeparator" w:id="0">
    <w:p w14:paraId="59ACF69A" w14:textId="77777777" w:rsidR="00F54BEC" w:rsidRDefault="00F54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32310E" w14:textId="77777777" w:rsidR="006359EE" w:rsidRDefault="00AE2EE2" w:rsidP="00AE2EE2">
    <w:pPr>
      <w:spacing w:line="14" w:lineRule="auto"/>
      <w:jc w:val="center"/>
      <w:rPr>
        <w:sz w:val="20"/>
        <w:szCs w:val="20"/>
      </w:rPr>
    </w:pPr>
    <w:r>
      <w:rPr>
        <w:noProof/>
        <w:sz w:val="20"/>
        <w:szCs w:val="20"/>
        <w:lang w:val="en-IE" w:eastAsia="en-IE"/>
      </w:rPr>
      <w:drawing>
        <wp:inline distT="0" distB="0" distL="0" distR="0" wp14:anchorId="683BC074" wp14:editId="575311C8">
          <wp:extent cx="1390844" cy="685896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U Dublin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90844" cy="6858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AE3E64"/>
    <w:multiLevelType w:val="hybridMultilevel"/>
    <w:tmpl w:val="62ACE38C"/>
    <w:lvl w:ilvl="0" w:tplc="0980E430">
      <w:start w:val="1"/>
      <w:numFmt w:val="decimal"/>
      <w:lvlText w:val="%1."/>
      <w:lvlJc w:val="left"/>
      <w:pPr>
        <w:ind w:left="491" w:hanging="279"/>
        <w:jc w:val="right"/>
      </w:pPr>
      <w:rPr>
        <w:rFonts w:ascii="Calibri" w:eastAsia="Calibri" w:hAnsi="Calibri" w:hint="default"/>
        <w:b/>
        <w:bCs/>
        <w:spacing w:val="-1"/>
        <w:w w:val="100"/>
        <w:sz w:val="28"/>
        <w:szCs w:val="28"/>
      </w:rPr>
    </w:lvl>
    <w:lvl w:ilvl="1" w:tplc="AE1E61A2">
      <w:start w:val="1"/>
      <w:numFmt w:val="bullet"/>
      <w:lvlText w:val="•"/>
      <w:lvlJc w:val="left"/>
      <w:pPr>
        <w:ind w:left="1401" w:hanging="279"/>
      </w:pPr>
      <w:rPr>
        <w:rFonts w:hint="default"/>
      </w:rPr>
    </w:lvl>
    <w:lvl w:ilvl="2" w:tplc="FCD4F02C">
      <w:start w:val="1"/>
      <w:numFmt w:val="bullet"/>
      <w:lvlText w:val="•"/>
      <w:lvlJc w:val="left"/>
      <w:pPr>
        <w:ind w:left="2303" w:hanging="279"/>
      </w:pPr>
      <w:rPr>
        <w:rFonts w:hint="default"/>
      </w:rPr>
    </w:lvl>
    <w:lvl w:ilvl="3" w:tplc="8C5C37DA">
      <w:start w:val="1"/>
      <w:numFmt w:val="bullet"/>
      <w:lvlText w:val="•"/>
      <w:lvlJc w:val="left"/>
      <w:pPr>
        <w:ind w:left="3205" w:hanging="279"/>
      </w:pPr>
      <w:rPr>
        <w:rFonts w:hint="default"/>
      </w:rPr>
    </w:lvl>
    <w:lvl w:ilvl="4" w:tplc="373C7BF4">
      <w:start w:val="1"/>
      <w:numFmt w:val="bullet"/>
      <w:lvlText w:val="•"/>
      <w:lvlJc w:val="left"/>
      <w:pPr>
        <w:ind w:left="4107" w:hanging="279"/>
      </w:pPr>
      <w:rPr>
        <w:rFonts w:hint="default"/>
      </w:rPr>
    </w:lvl>
    <w:lvl w:ilvl="5" w:tplc="CF6AA048">
      <w:start w:val="1"/>
      <w:numFmt w:val="bullet"/>
      <w:lvlText w:val="•"/>
      <w:lvlJc w:val="left"/>
      <w:pPr>
        <w:ind w:left="5009" w:hanging="279"/>
      </w:pPr>
      <w:rPr>
        <w:rFonts w:hint="default"/>
      </w:rPr>
    </w:lvl>
    <w:lvl w:ilvl="6" w:tplc="888000D0">
      <w:start w:val="1"/>
      <w:numFmt w:val="bullet"/>
      <w:lvlText w:val="•"/>
      <w:lvlJc w:val="left"/>
      <w:pPr>
        <w:ind w:left="5911" w:hanging="279"/>
      </w:pPr>
      <w:rPr>
        <w:rFonts w:hint="default"/>
      </w:rPr>
    </w:lvl>
    <w:lvl w:ilvl="7" w:tplc="A378A682">
      <w:start w:val="1"/>
      <w:numFmt w:val="bullet"/>
      <w:lvlText w:val="•"/>
      <w:lvlJc w:val="left"/>
      <w:pPr>
        <w:ind w:left="6813" w:hanging="279"/>
      </w:pPr>
      <w:rPr>
        <w:rFonts w:hint="default"/>
      </w:rPr>
    </w:lvl>
    <w:lvl w:ilvl="8" w:tplc="62327DD4">
      <w:start w:val="1"/>
      <w:numFmt w:val="bullet"/>
      <w:lvlText w:val="•"/>
      <w:lvlJc w:val="left"/>
      <w:pPr>
        <w:ind w:left="7715" w:hanging="279"/>
      </w:pPr>
      <w:rPr>
        <w:rFonts w:hint="default"/>
      </w:rPr>
    </w:lvl>
  </w:abstractNum>
  <w:num w:numId="1" w16cid:durableId="1506039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9EE"/>
    <w:rsid w:val="006359EE"/>
    <w:rsid w:val="00894D5F"/>
    <w:rsid w:val="00A72426"/>
    <w:rsid w:val="00AE2EE2"/>
    <w:rsid w:val="00ED706A"/>
    <w:rsid w:val="00F249C1"/>
    <w:rsid w:val="00F54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63ED6A98"/>
  <w15:docId w15:val="{229B8A8B-A607-498A-9ADC-3DE909FFB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00" w:hanging="17"/>
      <w:outlineLvl w:val="0"/>
    </w:pPr>
    <w:rPr>
      <w:rFonts w:ascii="Arial" w:eastAsia="Arial" w:hAnsi="Arial"/>
      <w:b/>
      <w:bCs/>
      <w:sz w:val="32"/>
      <w:szCs w:val="32"/>
    </w:rPr>
  </w:style>
  <w:style w:type="paragraph" w:styleId="Heading2">
    <w:name w:val="heading 2"/>
    <w:basedOn w:val="Normal"/>
    <w:uiPriority w:val="1"/>
    <w:qFormat/>
    <w:pPr>
      <w:spacing w:before="44"/>
      <w:ind w:left="491" w:hanging="279"/>
      <w:outlineLvl w:val="1"/>
    </w:pPr>
    <w:rPr>
      <w:rFonts w:ascii="Calibri" w:eastAsia="Calibri" w:hAnsi="Calibri"/>
      <w:b/>
      <w:bCs/>
      <w:sz w:val="28"/>
      <w:szCs w:val="28"/>
    </w:rPr>
  </w:style>
  <w:style w:type="paragraph" w:styleId="Heading3">
    <w:name w:val="heading 3"/>
    <w:basedOn w:val="Normal"/>
    <w:uiPriority w:val="1"/>
    <w:qFormat/>
    <w:pPr>
      <w:ind w:left="380"/>
      <w:outlineLvl w:val="2"/>
    </w:pPr>
    <w:rPr>
      <w:rFonts w:ascii="Calibri" w:eastAsia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E2EE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2EE2"/>
  </w:style>
  <w:style w:type="paragraph" w:styleId="Footer">
    <w:name w:val="footer"/>
    <w:basedOn w:val="Normal"/>
    <w:link w:val="FooterChar"/>
    <w:uiPriority w:val="99"/>
    <w:unhideWhenUsed/>
    <w:rsid w:val="00AE2EE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2EE2"/>
  </w:style>
  <w:style w:type="character" w:styleId="Hyperlink">
    <w:name w:val="Hyperlink"/>
    <w:basedOn w:val="DefaultParagraphFont"/>
    <w:uiPriority w:val="99"/>
    <w:unhideWhenUsed/>
    <w:rsid w:val="00ED706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706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D706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http://www.xe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revenue.ie/en/employing-people/documents/dper-circular-19-2023-domestic-subsistence-allowances.pdf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revenue.ie/en/employing-people/documents/dper-circular-16-2022-motor-travel-rates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udublin.ie/explore/about-the-university/academic-affairs/academic-quality-assurance-and-enhancement/quality-assurance-and-enhancement-processes/city-centre-quality-assurance/external-examiners-assessors/hr-payroll-and-claim-forms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627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Guidelines.doc</vt:lpstr>
    </vt:vector>
  </TitlesOfParts>
  <Company>Dublin Institute of Technology</Company>
  <LinksUpToDate>false</LinksUpToDate>
  <CharactersWithSpaces>4193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Guidelines.doc</dc:title>
  <dc:creator>gerolmina.dinardo</dc:creator>
  <cp:lastModifiedBy>Carole Redmond</cp:lastModifiedBy>
  <cp:revision>3</cp:revision>
  <dcterms:created xsi:type="dcterms:W3CDTF">2024-03-14T16:38:00Z</dcterms:created>
  <dcterms:modified xsi:type="dcterms:W3CDTF">2024-03-14T17:02:00Z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2017-09-07T00:00:00Z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2019-01-07T00:00:00Z</vt:filetime>
  </property>
</Properties>
</file>