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57" w:rsidRDefault="00BE4257" w:rsidP="00A7588C">
      <w:pPr>
        <w:jc w:val="center"/>
        <w:rPr>
          <w:rFonts w:asciiTheme="minorHAnsi" w:hAnsiTheme="minorHAnsi"/>
          <w:b/>
          <w:sz w:val="24"/>
          <w:szCs w:val="24"/>
        </w:rPr>
      </w:pPr>
    </w:p>
    <w:p w:rsidR="00BE4257" w:rsidRDefault="00BE4257" w:rsidP="00A7588C">
      <w:pPr>
        <w:jc w:val="center"/>
        <w:rPr>
          <w:rFonts w:asciiTheme="minorHAnsi" w:hAnsiTheme="minorHAnsi"/>
          <w:b/>
          <w:sz w:val="24"/>
          <w:szCs w:val="24"/>
        </w:rPr>
      </w:pPr>
      <w:r>
        <w:rPr>
          <w:noProof/>
          <w:lang w:val="en-US"/>
        </w:rPr>
        <w:drawing>
          <wp:inline distT="0" distB="0" distL="0" distR="0" wp14:anchorId="45E1E7FF" wp14:editId="068E0E5D">
            <wp:extent cx="4166616" cy="2633472"/>
            <wp:effectExtent l="0" t="0" r="0" b="0"/>
            <wp:docPr id="14883" name="Picture 14883"/>
            <wp:cNvGraphicFramePr/>
            <a:graphic xmlns:a="http://schemas.openxmlformats.org/drawingml/2006/main">
              <a:graphicData uri="http://schemas.openxmlformats.org/drawingml/2006/picture">
                <pic:pic xmlns:pic="http://schemas.openxmlformats.org/drawingml/2006/picture">
                  <pic:nvPicPr>
                    <pic:cNvPr id="14883" name="Picture 14883"/>
                    <pic:cNvPicPr/>
                  </pic:nvPicPr>
                  <pic:blipFill>
                    <a:blip r:embed="rId8"/>
                    <a:stretch>
                      <a:fillRect/>
                    </a:stretch>
                  </pic:blipFill>
                  <pic:spPr>
                    <a:xfrm>
                      <a:off x="0" y="0"/>
                      <a:ext cx="4166616" cy="2633472"/>
                    </a:xfrm>
                    <a:prstGeom prst="rect">
                      <a:avLst/>
                    </a:prstGeom>
                  </pic:spPr>
                </pic:pic>
              </a:graphicData>
            </a:graphic>
          </wp:inline>
        </w:drawing>
      </w:r>
    </w:p>
    <w:p w:rsidR="00BE4257" w:rsidRDefault="00BE4257" w:rsidP="00A7588C">
      <w:pPr>
        <w:jc w:val="center"/>
        <w:rPr>
          <w:rFonts w:asciiTheme="minorHAnsi" w:hAnsiTheme="minorHAnsi"/>
          <w:b/>
          <w:sz w:val="24"/>
          <w:szCs w:val="24"/>
        </w:rPr>
      </w:pPr>
    </w:p>
    <w:p w:rsidR="00BE4257" w:rsidRDefault="00BE4257" w:rsidP="00A7588C">
      <w:pPr>
        <w:jc w:val="center"/>
        <w:rPr>
          <w:rFonts w:asciiTheme="minorHAnsi" w:hAnsiTheme="minorHAnsi"/>
          <w:b/>
          <w:sz w:val="24"/>
          <w:szCs w:val="24"/>
        </w:rPr>
      </w:pPr>
    </w:p>
    <w:p w:rsidR="008177AE" w:rsidRDefault="006610BD" w:rsidP="00A7588C">
      <w:pPr>
        <w:jc w:val="center"/>
        <w:rPr>
          <w:rFonts w:asciiTheme="minorHAnsi" w:hAnsiTheme="minorHAnsi"/>
          <w:b/>
          <w:sz w:val="56"/>
          <w:szCs w:val="56"/>
        </w:rPr>
      </w:pPr>
      <w:r w:rsidRPr="00BE4257">
        <w:rPr>
          <w:rFonts w:asciiTheme="minorHAnsi" w:hAnsiTheme="minorHAnsi"/>
          <w:b/>
          <w:sz w:val="56"/>
          <w:szCs w:val="56"/>
        </w:rPr>
        <w:t xml:space="preserve">Protection of </w:t>
      </w:r>
      <w:r w:rsidR="00076B2A" w:rsidRPr="00BE4257">
        <w:rPr>
          <w:rFonts w:asciiTheme="minorHAnsi" w:hAnsiTheme="minorHAnsi"/>
          <w:b/>
          <w:sz w:val="56"/>
          <w:szCs w:val="56"/>
        </w:rPr>
        <w:t xml:space="preserve">Enrolled </w:t>
      </w:r>
      <w:r w:rsidRPr="00BE4257">
        <w:rPr>
          <w:rFonts w:asciiTheme="minorHAnsi" w:hAnsiTheme="minorHAnsi"/>
          <w:b/>
          <w:sz w:val="56"/>
          <w:szCs w:val="56"/>
        </w:rPr>
        <w:t>Learners Policy</w:t>
      </w:r>
      <w:r w:rsidR="009807EE">
        <w:rPr>
          <w:rFonts w:asciiTheme="minorHAnsi" w:hAnsiTheme="minorHAnsi"/>
          <w:b/>
          <w:sz w:val="56"/>
          <w:szCs w:val="56"/>
        </w:rPr>
        <w:t xml:space="preserve"> for Linked and Collaborative Provision</w:t>
      </w:r>
    </w:p>
    <w:p w:rsidR="00BE4257" w:rsidRDefault="00BE4257" w:rsidP="00A7588C">
      <w:pPr>
        <w:jc w:val="center"/>
        <w:rPr>
          <w:rFonts w:asciiTheme="minorHAnsi" w:hAnsiTheme="minorHAnsi"/>
          <w:b/>
          <w:sz w:val="56"/>
          <w:szCs w:val="56"/>
        </w:rPr>
      </w:pPr>
    </w:p>
    <w:p w:rsidR="00BE4257" w:rsidRDefault="00BE4257" w:rsidP="00A7588C">
      <w:pPr>
        <w:jc w:val="center"/>
        <w:rPr>
          <w:rFonts w:asciiTheme="minorHAnsi" w:hAnsiTheme="minorHAnsi"/>
          <w:b/>
          <w:sz w:val="56"/>
          <w:szCs w:val="56"/>
        </w:rPr>
      </w:pPr>
    </w:p>
    <w:p w:rsidR="00BE4257" w:rsidRDefault="009807EE" w:rsidP="00A7588C">
      <w:pPr>
        <w:jc w:val="center"/>
        <w:rPr>
          <w:rFonts w:asciiTheme="minorHAnsi" w:hAnsiTheme="minorHAnsi"/>
          <w:b/>
          <w:sz w:val="56"/>
          <w:szCs w:val="56"/>
        </w:rPr>
      </w:pPr>
      <w:r>
        <w:rPr>
          <w:rFonts w:asciiTheme="minorHAnsi" w:hAnsiTheme="minorHAnsi"/>
          <w:b/>
          <w:sz w:val="56"/>
          <w:szCs w:val="56"/>
        </w:rPr>
        <w:t>Version 4</w:t>
      </w:r>
      <w:r w:rsidR="00BE4257">
        <w:rPr>
          <w:rFonts w:asciiTheme="minorHAnsi" w:hAnsiTheme="minorHAnsi"/>
          <w:b/>
          <w:sz w:val="56"/>
          <w:szCs w:val="56"/>
        </w:rPr>
        <w:t>.0</w:t>
      </w:r>
    </w:p>
    <w:p w:rsidR="00BE4257" w:rsidRDefault="00BE4257" w:rsidP="00A7588C">
      <w:pPr>
        <w:jc w:val="center"/>
        <w:rPr>
          <w:rFonts w:asciiTheme="minorHAnsi" w:hAnsiTheme="minorHAnsi"/>
          <w:b/>
          <w:sz w:val="56"/>
          <w:szCs w:val="56"/>
        </w:rPr>
      </w:pPr>
    </w:p>
    <w:p w:rsidR="00BE4257" w:rsidRDefault="009807EE" w:rsidP="00A7588C">
      <w:pPr>
        <w:jc w:val="center"/>
        <w:rPr>
          <w:rFonts w:asciiTheme="minorHAnsi" w:hAnsiTheme="minorHAnsi"/>
          <w:b/>
          <w:sz w:val="56"/>
          <w:szCs w:val="56"/>
        </w:rPr>
      </w:pPr>
      <w:r>
        <w:rPr>
          <w:rFonts w:asciiTheme="minorHAnsi" w:hAnsiTheme="minorHAnsi"/>
          <w:b/>
          <w:sz w:val="56"/>
          <w:szCs w:val="56"/>
        </w:rPr>
        <w:t>2</w:t>
      </w:r>
      <w:r w:rsidRPr="009807EE">
        <w:rPr>
          <w:rFonts w:asciiTheme="minorHAnsi" w:hAnsiTheme="minorHAnsi"/>
          <w:b/>
          <w:sz w:val="56"/>
          <w:szCs w:val="56"/>
          <w:vertAlign w:val="superscript"/>
        </w:rPr>
        <w:t>nd</w:t>
      </w:r>
      <w:r>
        <w:rPr>
          <w:rFonts w:asciiTheme="minorHAnsi" w:hAnsiTheme="minorHAnsi"/>
          <w:b/>
          <w:sz w:val="56"/>
          <w:szCs w:val="56"/>
        </w:rPr>
        <w:t xml:space="preserve"> March</w:t>
      </w:r>
      <w:r w:rsidR="00664C77">
        <w:rPr>
          <w:rFonts w:asciiTheme="minorHAnsi" w:hAnsiTheme="minorHAnsi"/>
          <w:b/>
          <w:sz w:val="56"/>
          <w:szCs w:val="56"/>
        </w:rPr>
        <w:t xml:space="preserve"> 2022</w:t>
      </w:r>
    </w:p>
    <w:p w:rsidR="009807EE" w:rsidRPr="009807EE" w:rsidRDefault="009807EE" w:rsidP="00A7588C">
      <w:pPr>
        <w:jc w:val="center"/>
        <w:rPr>
          <w:rFonts w:asciiTheme="minorHAnsi" w:hAnsiTheme="minorHAnsi"/>
          <w:b/>
          <w:sz w:val="28"/>
          <w:szCs w:val="28"/>
        </w:rPr>
      </w:pPr>
      <w:r w:rsidRPr="009807EE">
        <w:rPr>
          <w:rFonts w:asciiTheme="minorHAnsi" w:hAnsiTheme="minorHAnsi"/>
          <w:b/>
          <w:sz w:val="28"/>
          <w:szCs w:val="28"/>
        </w:rPr>
        <w:t>Approved Academic Council: 23</w:t>
      </w:r>
      <w:r w:rsidRPr="009807EE">
        <w:rPr>
          <w:rFonts w:asciiTheme="minorHAnsi" w:hAnsiTheme="minorHAnsi"/>
          <w:b/>
          <w:sz w:val="28"/>
          <w:szCs w:val="28"/>
          <w:vertAlign w:val="superscript"/>
        </w:rPr>
        <w:t>rd</w:t>
      </w:r>
      <w:r w:rsidRPr="009807EE">
        <w:rPr>
          <w:rFonts w:asciiTheme="minorHAnsi" w:hAnsiTheme="minorHAnsi"/>
          <w:b/>
          <w:sz w:val="28"/>
          <w:szCs w:val="28"/>
        </w:rPr>
        <w:t xml:space="preserve"> February 2022</w:t>
      </w:r>
    </w:p>
    <w:p w:rsidR="00E77B76" w:rsidRPr="00BE4257" w:rsidRDefault="00BE4257" w:rsidP="009807EE">
      <w:pPr>
        <w:spacing w:after="0" w:line="240" w:lineRule="auto"/>
        <w:rPr>
          <w:rFonts w:asciiTheme="minorHAnsi" w:hAnsiTheme="minorHAnsi" w:cstheme="minorHAnsi"/>
          <w:b/>
          <w:sz w:val="24"/>
          <w:szCs w:val="24"/>
          <w:lang w:val="en-US"/>
        </w:rPr>
      </w:pPr>
      <w:r>
        <w:rPr>
          <w:rFonts w:asciiTheme="minorHAnsi" w:hAnsiTheme="minorHAnsi"/>
          <w:b/>
          <w:sz w:val="24"/>
          <w:szCs w:val="24"/>
          <w:lang w:val="en-US"/>
        </w:rPr>
        <w:br w:type="page"/>
      </w:r>
      <w:r w:rsidR="00ED485D" w:rsidRPr="00BE4257">
        <w:rPr>
          <w:rFonts w:asciiTheme="minorHAnsi" w:hAnsiTheme="minorHAnsi" w:cstheme="minorHAnsi"/>
          <w:b/>
          <w:sz w:val="24"/>
          <w:szCs w:val="24"/>
          <w:lang w:val="en-US"/>
        </w:rPr>
        <w:lastRenderedPageBreak/>
        <w:t>QQI Act 2012</w:t>
      </w:r>
    </w:p>
    <w:p w:rsidR="00A7588C" w:rsidRPr="00BE4257" w:rsidRDefault="00A7588C" w:rsidP="00BE4257">
      <w:pPr>
        <w:jc w:val="both"/>
        <w:rPr>
          <w:rFonts w:asciiTheme="minorHAnsi" w:hAnsiTheme="minorHAnsi" w:cstheme="minorHAnsi"/>
          <w:b/>
          <w:lang w:val="en-US"/>
        </w:rPr>
      </w:pPr>
      <w:r w:rsidRPr="00BE4257">
        <w:rPr>
          <w:rFonts w:asciiTheme="minorHAnsi" w:hAnsiTheme="minorHAnsi" w:cstheme="minorHAnsi"/>
          <w:lang w:val="en-US"/>
        </w:rPr>
        <w:t>Under the Qualifications and Quality Assurance (Education and Training) Act 2012, Protection of Enrolled Learners (P</w:t>
      </w:r>
      <w:r w:rsidR="00ED485D" w:rsidRPr="00BE4257">
        <w:rPr>
          <w:rFonts w:asciiTheme="minorHAnsi" w:hAnsiTheme="minorHAnsi" w:cstheme="minorHAnsi"/>
          <w:lang w:val="en-US"/>
        </w:rPr>
        <w:t>E</w:t>
      </w:r>
      <w:r w:rsidRPr="00BE4257">
        <w:rPr>
          <w:rFonts w:asciiTheme="minorHAnsi" w:hAnsiTheme="minorHAnsi" w:cstheme="minorHAnsi"/>
          <w:lang w:val="en-US"/>
        </w:rPr>
        <w:t xml:space="preserve">L) is now a requirement for all providers offering programmes of 3 months’ duration or longer, where fees are charged (with the exception of certain public providers expressly exempt under the legislation).  </w:t>
      </w:r>
      <w:r w:rsidR="00FD4D37" w:rsidRPr="00BE4257">
        <w:rPr>
          <w:rFonts w:asciiTheme="minorHAnsi" w:hAnsiTheme="minorHAnsi" w:cstheme="minorHAnsi"/>
          <w:lang w:val="en-US"/>
        </w:rPr>
        <w:t>The Technological University Act 2018, amended to the 2012 QQI Act to exempt to specify Technological Universities as providers who are exempt from the specific requirement to put arrangements in place for PEL for programmes it delivers itself.  However, TU Dublin commits to delivering or providing an equivalent programme of study to facilitate all registered students with an opportunity to complete their programme of study.</w:t>
      </w:r>
    </w:p>
    <w:p w:rsidR="006610BD" w:rsidRPr="00BE4257" w:rsidRDefault="00ED485D"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The arrangements for</w:t>
      </w:r>
      <w:r w:rsidR="006610BD" w:rsidRPr="00BE4257">
        <w:rPr>
          <w:rFonts w:asciiTheme="minorHAnsi" w:hAnsiTheme="minorHAnsi" w:cstheme="minorHAnsi"/>
          <w:lang w:val="en-US"/>
        </w:rPr>
        <w:t xml:space="preserve"> </w:t>
      </w:r>
      <w:r w:rsidR="00FD4E06" w:rsidRPr="00BE4257">
        <w:rPr>
          <w:rFonts w:asciiTheme="minorHAnsi" w:hAnsiTheme="minorHAnsi" w:cstheme="minorHAnsi"/>
          <w:lang w:val="en-US"/>
        </w:rPr>
        <w:t>PEL</w:t>
      </w:r>
      <w:r w:rsidR="006610BD" w:rsidRPr="00BE4257">
        <w:rPr>
          <w:rFonts w:asciiTheme="minorHAnsi" w:hAnsiTheme="minorHAnsi" w:cstheme="minorHAnsi"/>
          <w:lang w:val="en-US"/>
        </w:rPr>
        <w:t xml:space="preserve"> is defined in Section 6, QQI 2012 Act.  </w:t>
      </w:r>
    </w:p>
    <w:p w:rsidR="006610BD" w:rsidRPr="00BE4257" w:rsidRDefault="006610BD" w:rsidP="00BE4257">
      <w:pPr>
        <w:pStyle w:val="ListParagraph"/>
        <w:ind w:left="0"/>
        <w:jc w:val="both"/>
        <w:rPr>
          <w:rFonts w:asciiTheme="minorHAnsi" w:hAnsiTheme="minorHAnsi" w:cstheme="minorHAnsi"/>
          <w:lang w:val="en-US"/>
        </w:rPr>
      </w:pPr>
    </w:p>
    <w:p w:rsidR="006610BD" w:rsidRPr="00BE4257" w:rsidRDefault="006610BD"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The 2012 Act seeks to ensure that:</w:t>
      </w:r>
    </w:p>
    <w:p w:rsidR="006610BD" w:rsidRPr="00BE4257" w:rsidRDefault="006610BD" w:rsidP="00BE4257">
      <w:pPr>
        <w:pStyle w:val="ListParagraph"/>
        <w:numPr>
          <w:ilvl w:val="0"/>
          <w:numId w:val="2"/>
        </w:numPr>
        <w:jc w:val="both"/>
        <w:rPr>
          <w:rFonts w:asciiTheme="minorHAnsi" w:hAnsiTheme="minorHAnsi" w:cstheme="minorHAnsi"/>
          <w:lang w:val="en-US"/>
        </w:rPr>
      </w:pPr>
      <w:r w:rsidRPr="00BE4257">
        <w:rPr>
          <w:rFonts w:asciiTheme="minorHAnsi" w:hAnsiTheme="minorHAnsi" w:cstheme="minorHAnsi"/>
          <w:lang w:val="en-US"/>
        </w:rPr>
        <w:t>Learners have the opportunity to complete a programme leading to an award or</w:t>
      </w:r>
    </w:p>
    <w:p w:rsidR="006610BD" w:rsidRPr="00BE4257" w:rsidRDefault="006610BD" w:rsidP="00BE4257">
      <w:pPr>
        <w:pStyle w:val="ListParagraph"/>
        <w:numPr>
          <w:ilvl w:val="0"/>
          <w:numId w:val="2"/>
        </w:numPr>
        <w:jc w:val="both"/>
        <w:rPr>
          <w:rFonts w:asciiTheme="minorHAnsi" w:hAnsiTheme="minorHAnsi" w:cstheme="minorHAnsi"/>
          <w:lang w:val="en-US"/>
        </w:rPr>
      </w:pPr>
      <w:r w:rsidRPr="00BE4257">
        <w:rPr>
          <w:rFonts w:asciiTheme="minorHAnsi" w:hAnsiTheme="minorHAnsi" w:cstheme="minorHAnsi"/>
          <w:lang w:val="en-US"/>
        </w:rPr>
        <w:t>Learners are refunded the moneys most recently paid if a programme ends before they complete it, and</w:t>
      </w:r>
    </w:p>
    <w:p w:rsidR="006610BD" w:rsidRPr="00BE4257" w:rsidRDefault="006610BD" w:rsidP="00BE4257">
      <w:pPr>
        <w:pStyle w:val="ListParagraph"/>
        <w:numPr>
          <w:ilvl w:val="0"/>
          <w:numId w:val="2"/>
        </w:numPr>
        <w:jc w:val="both"/>
        <w:rPr>
          <w:rFonts w:asciiTheme="minorHAnsi" w:hAnsiTheme="minorHAnsi" w:cstheme="minorHAnsi"/>
          <w:lang w:val="en-US"/>
        </w:rPr>
      </w:pPr>
      <w:r w:rsidRPr="00BE4257">
        <w:rPr>
          <w:rFonts w:asciiTheme="minorHAnsi" w:hAnsiTheme="minorHAnsi" w:cstheme="minorHAnsi"/>
          <w:lang w:val="en-US"/>
        </w:rPr>
        <w:t xml:space="preserve">Learners are provided with adequate and accurate information about the programme that they wish to pursue </w:t>
      </w:r>
      <w:r w:rsidR="006452B4" w:rsidRPr="00BE4257">
        <w:rPr>
          <w:rFonts w:asciiTheme="minorHAnsi" w:hAnsiTheme="minorHAnsi" w:cstheme="minorHAnsi"/>
          <w:lang w:val="en-US"/>
        </w:rPr>
        <w:t xml:space="preserve">and about the protection in place for them in the event that the programme ceases prior to their completion.  </w:t>
      </w:r>
    </w:p>
    <w:p w:rsidR="00893EDE" w:rsidRPr="00BE4257" w:rsidRDefault="00893EDE" w:rsidP="00BE4257">
      <w:pPr>
        <w:pStyle w:val="ListParagraph"/>
        <w:ind w:left="0"/>
        <w:jc w:val="both"/>
        <w:rPr>
          <w:rFonts w:asciiTheme="minorHAnsi" w:hAnsiTheme="minorHAnsi" w:cstheme="minorHAnsi"/>
          <w:lang w:val="en-US"/>
        </w:rPr>
      </w:pPr>
    </w:p>
    <w:p w:rsidR="00ED485D" w:rsidRPr="00BE4257" w:rsidRDefault="00ED485D" w:rsidP="00BE4257">
      <w:pPr>
        <w:pStyle w:val="ListParagraph"/>
        <w:ind w:left="0"/>
        <w:jc w:val="both"/>
        <w:rPr>
          <w:rFonts w:asciiTheme="minorHAnsi" w:hAnsiTheme="minorHAnsi" w:cstheme="minorHAnsi"/>
          <w:b/>
          <w:sz w:val="24"/>
          <w:szCs w:val="24"/>
          <w:lang w:val="en-US"/>
        </w:rPr>
      </w:pPr>
      <w:r w:rsidRPr="00BE4257">
        <w:rPr>
          <w:rFonts w:asciiTheme="minorHAnsi" w:hAnsiTheme="minorHAnsi" w:cstheme="minorHAnsi"/>
          <w:b/>
          <w:sz w:val="24"/>
          <w:szCs w:val="24"/>
          <w:lang w:val="en-US"/>
        </w:rPr>
        <w:t>Collaborative Provision</w:t>
      </w:r>
    </w:p>
    <w:p w:rsidR="002334F7" w:rsidRPr="00BE4257" w:rsidRDefault="002334F7"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QQI protocols </w:t>
      </w:r>
      <w:r w:rsidR="00017ED8" w:rsidRPr="00BE4257">
        <w:rPr>
          <w:rFonts w:asciiTheme="minorHAnsi" w:hAnsiTheme="minorHAnsi" w:cstheme="minorHAnsi"/>
          <w:lang w:val="en-US"/>
        </w:rPr>
        <w:t>however require that Universities</w:t>
      </w:r>
      <w:r w:rsidRPr="00BE4257">
        <w:rPr>
          <w:rFonts w:asciiTheme="minorHAnsi" w:hAnsiTheme="minorHAnsi" w:cstheme="minorHAnsi"/>
          <w:lang w:val="en-US"/>
        </w:rPr>
        <w:t xml:space="preserve"> consider PEL implications when entering into collaborative and joint awarding arrangements and this should be addressed in contractual arrangements underpinning collaborations.  </w:t>
      </w:r>
      <w:r w:rsidR="00017ED8" w:rsidRPr="00BE4257">
        <w:rPr>
          <w:rFonts w:asciiTheme="minorHAnsi" w:hAnsiTheme="minorHAnsi" w:cstheme="minorHAnsi"/>
          <w:lang w:val="en-US"/>
        </w:rPr>
        <w:t>TU Dublin</w:t>
      </w:r>
      <w:r w:rsidR="00893EDE" w:rsidRPr="00BE4257">
        <w:rPr>
          <w:rFonts w:asciiTheme="minorHAnsi" w:hAnsiTheme="minorHAnsi" w:cstheme="minorHAnsi"/>
          <w:lang w:val="en-US"/>
        </w:rPr>
        <w:t xml:space="preserve"> has a responsibility to ensure that any learners enrolled on collaborative </w:t>
      </w:r>
      <w:r w:rsidRPr="00BE4257">
        <w:rPr>
          <w:rFonts w:asciiTheme="minorHAnsi" w:hAnsiTheme="minorHAnsi" w:cstheme="minorHAnsi"/>
          <w:lang w:val="en-US"/>
        </w:rPr>
        <w:t xml:space="preserve">and joint </w:t>
      </w:r>
      <w:r w:rsidR="00893EDE" w:rsidRPr="00BE4257">
        <w:rPr>
          <w:rFonts w:asciiTheme="minorHAnsi" w:hAnsiTheme="minorHAnsi" w:cstheme="minorHAnsi"/>
          <w:lang w:val="en-US"/>
        </w:rPr>
        <w:t>programmes d</w:t>
      </w:r>
      <w:r w:rsidR="00017ED8" w:rsidRPr="00BE4257">
        <w:rPr>
          <w:rFonts w:asciiTheme="minorHAnsi" w:hAnsiTheme="minorHAnsi" w:cstheme="minorHAnsi"/>
          <w:lang w:val="en-US"/>
        </w:rPr>
        <w:t>elivered in partnership with TU Dublin</w:t>
      </w:r>
      <w:r w:rsidR="00893EDE" w:rsidRPr="00BE4257">
        <w:rPr>
          <w:rFonts w:asciiTheme="minorHAnsi" w:hAnsiTheme="minorHAnsi" w:cstheme="minorHAnsi"/>
          <w:lang w:val="en-US"/>
        </w:rPr>
        <w:t xml:space="preserve"> are delivered in accordance with the approved programme documents.  </w:t>
      </w:r>
      <w:r w:rsidRPr="00BE4257">
        <w:rPr>
          <w:rFonts w:asciiTheme="minorHAnsi" w:hAnsiTheme="minorHAnsi" w:cstheme="minorHAnsi"/>
          <w:lang w:val="en-US"/>
        </w:rPr>
        <w:t>Prior to approval / re-approval of a new programme</w:t>
      </w:r>
      <w:r w:rsidR="00ED485D" w:rsidRPr="00BE4257">
        <w:rPr>
          <w:rFonts w:asciiTheme="minorHAnsi" w:hAnsiTheme="minorHAnsi" w:cstheme="minorHAnsi"/>
          <w:lang w:val="en-US"/>
        </w:rPr>
        <w:t>s</w:t>
      </w:r>
      <w:r w:rsidRPr="00BE4257">
        <w:rPr>
          <w:rFonts w:asciiTheme="minorHAnsi" w:hAnsiTheme="minorHAnsi" w:cstheme="minorHAnsi"/>
          <w:lang w:val="en-US"/>
        </w:rPr>
        <w:t xml:space="preserve"> with Collaborative providers, the pro</w:t>
      </w:r>
      <w:r w:rsidR="00017ED8" w:rsidRPr="00BE4257">
        <w:rPr>
          <w:rFonts w:asciiTheme="minorHAnsi" w:hAnsiTheme="minorHAnsi" w:cstheme="minorHAnsi"/>
          <w:lang w:val="en-US"/>
        </w:rPr>
        <w:t>vider together with the host TU Dublin</w:t>
      </w:r>
      <w:r w:rsidRPr="00BE4257">
        <w:rPr>
          <w:rFonts w:asciiTheme="minorHAnsi" w:hAnsiTheme="minorHAnsi" w:cstheme="minorHAnsi"/>
          <w:lang w:val="en-US"/>
        </w:rPr>
        <w:t xml:space="preserve"> </w:t>
      </w:r>
      <w:r w:rsidR="00BE4257" w:rsidRPr="00BE4257">
        <w:rPr>
          <w:rFonts w:asciiTheme="minorHAnsi" w:hAnsiTheme="minorHAnsi" w:cstheme="minorHAnsi"/>
          <w:lang w:val="en-US"/>
        </w:rPr>
        <w:t>School</w:t>
      </w:r>
      <w:r w:rsidRPr="00BE4257">
        <w:rPr>
          <w:rFonts w:asciiTheme="minorHAnsi" w:hAnsiTheme="minorHAnsi" w:cstheme="minorHAnsi"/>
          <w:lang w:val="en-US"/>
        </w:rPr>
        <w:t xml:space="preserve"> must s</w:t>
      </w:r>
      <w:r w:rsidR="00191103">
        <w:rPr>
          <w:rFonts w:asciiTheme="minorHAnsi" w:hAnsiTheme="minorHAnsi" w:cstheme="minorHAnsi"/>
          <w:lang w:val="en-US"/>
        </w:rPr>
        <w:t>ubmit details in writing to Academic Affairs and the Partnership Office</w:t>
      </w:r>
      <w:r w:rsidRPr="00BE4257">
        <w:rPr>
          <w:rFonts w:asciiTheme="minorHAnsi" w:hAnsiTheme="minorHAnsi" w:cstheme="minorHAnsi"/>
          <w:lang w:val="en-US"/>
        </w:rPr>
        <w:t xml:space="preserve"> of arrangements to be put in place should the collaborative partner be unable to </w:t>
      </w:r>
      <w:r w:rsidR="00D544B0" w:rsidRPr="00BE4257">
        <w:rPr>
          <w:rFonts w:asciiTheme="minorHAnsi" w:hAnsiTheme="minorHAnsi" w:cstheme="minorHAnsi"/>
          <w:lang w:val="en-US"/>
        </w:rPr>
        <w:t>fulfill</w:t>
      </w:r>
      <w:r w:rsidRPr="00BE4257">
        <w:rPr>
          <w:rFonts w:asciiTheme="minorHAnsi" w:hAnsiTheme="minorHAnsi" w:cstheme="minorHAnsi"/>
          <w:lang w:val="en-US"/>
        </w:rPr>
        <w:t xml:space="preserve"> their obligations in relation to programme d</w:t>
      </w:r>
      <w:r w:rsidR="000E3451" w:rsidRPr="00BE4257">
        <w:rPr>
          <w:rFonts w:asciiTheme="minorHAnsi" w:hAnsiTheme="minorHAnsi" w:cstheme="minorHAnsi"/>
          <w:lang w:val="en-US"/>
        </w:rPr>
        <w:t>elivery.  These arrangements must</w:t>
      </w:r>
      <w:r w:rsidRPr="00BE4257">
        <w:rPr>
          <w:rFonts w:asciiTheme="minorHAnsi" w:hAnsiTheme="minorHAnsi" w:cstheme="minorHAnsi"/>
          <w:lang w:val="en-US"/>
        </w:rPr>
        <w:t xml:space="preserve"> include alternative arrangements for the delivery of the programme and / or financial arrangements to cover the cost of this delivery or a refund of fees to enrolled learners (or those who have paid monies on behalf of enrolled learners).  </w:t>
      </w:r>
    </w:p>
    <w:p w:rsidR="00E77B76" w:rsidRPr="00BE4257" w:rsidRDefault="00E77B76" w:rsidP="00BE4257">
      <w:pPr>
        <w:pStyle w:val="ListParagraph"/>
        <w:ind w:left="0"/>
        <w:jc w:val="both"/>
        <w:rPr>
          <w:rFonts w:asciiTheme="minorHAnsi" w:hAnsiTheme="minorHAnsi" w:cstheme="minorHAnsi"/>
          <w:lang w:val="en-US"/>
        </w:rPr>
      </w:pPr>
    </w:p>
    <w:p w:rsidR="002334F7" w:rsidRPr="00BE4257" w:rsidRDefault="00E77B76"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In the case of international collaborative partners, TU Dublin recognizes that each international jurisdiction may have its own legislative and legal procedures for the Protection of Enrolled Learners.  International collaborative partners will be required to submit details of any local Protection of Enrolled Learner requirements within their jurisdiction as part of initial programme documentation.  </w:t>
      </w:r>
      <w:r w:rsidR="00191103" w:rsidRPr="00BE4257">
        <w:rPr>
          <w:rFonts w:asciiTheme="minorHAnsi" w:hAnsiTheme="minorHAnsi" w:cstheme="minorHAnsi"/>
          <w:lang w:val="en-US"/>
        </w:rPr>
        <w:t>The University will consider these requirements</w:t>
      </w:r>
      <w:r w:rsidRPr="00BE4257">
        <w:rPr>
          <w:rFonts w:asciiTheme="minorHAnsi" w:hAnsiTheme="minorHAnsi" w:cstheme="minorHAnsi"/>
          <w:lang w:val="en-US"/>
        </w:rPr>
        <w:t>.</w:t>
      </w:r>
    </w:p>
    <w:p w:rsidR="00E77B76" w:rsidRPr="00BE4257" w:rsidRDefault="00E77B76" w:rsidP="00BE4257">
      <w:pPr>
        <w:pStyle w:val="ListParagraph"/>
        <w:ind w:left="0"/>
        <w:jc w:val="both"/>
        <w:rPr>
          <w:rFonts w:asciiTheme="minorHAnsi" w:hAnsiTheme="minorHAnsi" w:cstheme="minorHAnsi"/>
          <w:lang w:val="en-US"/>
        </w:rPr>
      </w:pPr>
    </w:p>
    <w:p w:rsidR="00ED485D" w:rsidRPr="00BE4257" w:rsidRDefault="00ED485D" w:rsidP="00BE4257">
      <w:pPr>
        <w:pStyle w:val="ListParagraph"/>
        <w:ind w:left="0"/>
        <w:jc w:val="both"/>
        <w:rPr>
          <w:rFonts w:asciiTheme="minorHAnsi" w:hAnsiTheme="minorHAnsi" w:cstheme="minorHAnsi"/>
          <w:b/>
          <w:sz w:val="24"/>
          <w:szCs w:val="24"/>
          <w:lang w:val="en-US"/>
        </w:rPr>
      </w:pPr>
      <w:r w:rsidRPr="00BE4257">
        <w:rPr>
          <w:rFonts w:asciiTheme="minorHAnsi" w:hAnsiTheme="minorHAnsi" w:cstheme="minorHAnsi"/>
          <w:b/>
          <w:sz w:val="24"/>
          <w:szCs w:val="24"/>
          <w:lang w:val="en-US"/>
        </w:rPr>
        <w:t>Linked Provider</w:t>
      </w:r>
    </w:p>
    <w:p w:rsidR="00893EDE" w:rsidRPr="00BE4257" w:rsidRDefault="002334F7"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L</w:t>
      </w:r>
      <w:r w:rsidR="00893EDE" w:rsidRPr="00BE4257">
        <w:rPr>
          <w:rFonts w:asciiTheme="minorHAnsi" w:hAnsiTheme="minorHAnsi" w:cstheme="minorHAnsi"/>
          <w:lang w:val="en-US"/>
        </w:rPr>
        <w:t>inked providers</w:t>
      </w:r>
      <w:r w:rsidRPr="00BE4257">
        <w:rPr>
          <w:rFonts w:asciiTheme="minorHAnsi" w:hAnsiTheme="minorHAnsi" w:cstheme="minorHAnsi"/>
          <w:lang w:val="en-US"/>
        </w:rPr>
        <w:t xml:space="preserve"> </w:t>
      </w:r>
      <w:r w:rsidR="00017ED8" w:rsidRPr="00BE4257">
        <w:rPr>
          <w:rFonts w:asciiTheme="minorHAnsi" w:hAnsiTheme="minorHAnsi" w:cstheme="minorHAnsi"/>
          <w:lang w:val="en-US"/>
        </w:rPr>
        <w:t xml:space="preserve">of TU Dublin </w:t>
      </w:r>
      <w:r w:rsidRPr="00BE4257">
        <w:rPr>
          <w:rFonts w:asciiTheme="minorHAnsi" w:hAnsiTheme="minorHAnsi" w:cstheme="minorHAnsi"/>
          <w:lang w:val="en-US"/>
        </w:rPr>
        <w:t>unless named as exempt in 2012 QQI Act are required to put in place PEL provision</w:t>
      </w:r>
      <w:r w:rsidR="00017ED8" w:rsidRPr="00BE4257">
        <w:rPr>
          <w:rFonts w:asciiTheme="minorHAnsi" w:hAnsiTheme="minorHAnsi" w:cstheme="minorHAnsi"/>
          <w:lang w:val="en-US"/>
        </w:rPr>
        <w:t xml:space="preserve"> and TU Dublin </w:t>
      </w:r>
      <w:r w:rsidR="00A910EF" w:rsidRPr="00BE4257">
        <w:rPr>
          <w:rFonts w:asciiTheme="minorHAnsi" w:hAnsiTheme="minorHAnsi" w:cstheme="minorHAnsi"/>
          <w:lang w:val="en-US"/>
        </w:rPr>
        <w:t xml:space="preserve"> is required to ensure that this PEL is appropriate</w:t>
      </w:r>
      <w:r w:rsidRPr="00BE4257">
        <w:rPr>
          <w:rFonts w:asciiTheme="minorHAnsi" w:hAnsiTheme="minorHAnsi" w:cstheme="minorHAnsi"/>
          <w:lang w:val="en-US"/>
        </w:rPr>
        <w:t xml:space="preserve">.  </w:t>
      </w:r>
      <w:r w:rsidR="00893EDE" w:rsidRPr="00BE4257">
        <w:rPr>
          <w:rFonts w:asciiTheme="minorHAnsi" w:hAnsiTheme="minorHAnsi" w:cstheme="minorHAnsi"/>
          <w:lang w:val="en-US"/>
        </w:rPr>
        <w:t xml:space="preserve">For </w:t>
      </w:r>
      <w:r w:rsidRPr="00BE4257">
        <w:rPr>
          <w:rFonts w:asciiTheme="minorHAnsi" w:hAnsiTheme="minorHAnsi" w:cstheme="minorHAnsi"/>
          <w:lang w:val="en-US"/>
        </w:rPr>
        <w:t xml:space="preserve">these </w:t>
      </w:r>
      <w:r w:rsidR="00893EDE" w:rsidRPr="00BE4257">
        <w:rPr>
          <w:rFonts w:asciiTheme="minorHAnsi" w:hAnsiTheme="minorHAnsi" w:cstheme="minorHAnsi"/>
          <w:lang w:val="en-US"/>
        </w:rPr>
        <w:t xml:space="preserve">linked providers protection of learners is specifically defined </w:t>
      </w:r>
      <w:r w:rsidRPr="00BE4257">
        <w:rPr>
          <w:rFonts w:asciiTheme="minorHAnsi" w:hAnsiTheme="minorHAnsi" w:cstheme="minorHAnsi"/>
          <w:lang w:val="en-US"/>
        </w:rPr>
        <w:t xml:space="preserve">within the Act </w:t>
      </w:r>
      <w:r w:rsidR="00893EDE" w:rsidRPr="00BE4257">
        <w:rPr>
          <w:rFonts w:asciiTheme="minorHAnsi" w:hAnsiTheme="minorHAnsi" w:cstheme="minorHAnsi"/>
          <w:lang w:val="en-US"/>
        </w:rPr>
        <w:t>for programmes of three months’ d</w:t>
      </w:r>
      <w:r w:rsidR="00BE4257">
        <w:rPr>
          <w:rFonts w:asciiTheme="minorHAnsi" w:hAnsiTheme="minorHAnsi" w:cstheme="minorHAnsi"/>
          <w:lang w:val="en-US"/>
        </w:rPr>
        <w:t>uration</w:t>
      </w:r>
      <w:r w:rsidR="00BE4257">
        <w:rPr>
          <w:rStyle w:val="FootnoteReference"/>
          <w:rFonts w:asciiTheme="minorHAnsi" w:hAnsiTheme="minorHAnsi" w:cstheme="minorHAnsi"/>
          <w:lang w:val="en-US"/>
        </w:rPr>
        <w:footnoteReference w:id="1"/>
      </w:r>
      <w:r w:rsidR="00893EDE" w:rsidRPr="00BE4257">
        <w:rPr>
          <w:rFonts w:asciiTheme="minorHAnsi" w:hAnsiTheme="minorHAnsi" w:cstheme="minorHAnsi"/>
          <w:lang w:val="en-US"/>
        </w:rPr>
        <w:t xml:space="preserve"> or more where fees have been paid by or on behalf of learners.  </w:t>
      </w:r>
    </w:p>
    <w:p w:rsidR="006452B4" w:rsidRPr="00BE4257" w:rsidRDefault="006452B4" w:rsidP="00BE4257">
      <w:pPr>
        <w:pStyle w:val="ListParagraph"/>
        <w:ind w:left="0"/>
        <w:jc w:val="both"/>
        <w:rPr>
          <w:rFonts w:asciiTheme="minorHAnsi" w:hAnsiTheme="minorHAnsi" w:cstheme="minorHAnsi"/>
          <w:lang w:val="en-US"/>
        </w:rPr>
      </w:pPr>
    </w:p>
    <w:p w:rsidR="00BE4257" w:rsidRDefault="00FD4E06"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Prior to approval / re-approval of a new programme </w:t>
      </w:r>
      <w:r w:rsidR="006452B4" w:rsidRPr="00BE4257">
        <w:rPr>
          <w:rFonts w:asciiTheme="minorHAnsi" w:hAnsiTheme="minorHAnsi" w:cstheme="minorHAnsi"/>
          <w:lang w:val="en-US"/>
        </w:rPr>
        <w:t>Linked providers</w:t>
      </w:r>
      <w:r w:rsidRPr="00BE4257">
        <w:rPr>
          <w:rFonts w:asciiTheme="minorHAnsi" w:hAnsiTheme="minorHAnsi" w:cstheme="minorHAnsi"/>
          <w:lang w:val="en-US"/>
        </w:rPr>
        <w:t xml:space="preserve"> must submit details in writing to the </w:t>
      </w:r>
      <w:r w:rsidR="00500721" w:rsidRPr="00BE4257">
        <w:rPr>
          <w:rFonts w:asciiTheme="minorHAnsi" w:hAnsiTheme="minorHAnsi" w:cstheme="minorHAnsi"/>
          <w:lang w:val="en-US"/>
        </w:rPr>
        <w:t xml:space="preserve">TU Dublin </w:t>
      </w:r>
      <w:r w:rsidRPr="00BE4257">
        <w:rPr>
          <w:rFonts w:asciiTheme="minorHAnsi" w:hAnsiTheme="minorHAnsi" w:cstheme="minorHAnsi"/>
          <w:lang w:val="en-US"/>
        </w:rPr>
        <w:t>of arrangements in place for PEL which comprise:</w:t>
      </w:r>
    </w:p>
    <w:p w:rsidR="00BE4257" w:rsidRDefault="00BE4257" w:rsidP="00BE4257">
      <w:pPr>
        <w:pStyle w:val="ListParagraph"/>
        <w:ind w:left="0"/>
        <w:jc w:val="both"/>
        <w:rPr>
          <w:rFonts w:asciiTheme="minorHAnsi" w:hAnsiTheme="minorHAnsi" w:cstheme="minorHAnsi"/>
          <w:lang w:val="en-US"/>
        </w:rPr>
      </w:pPr>
    </w:p>
    <w:p w:rsidR="00BE4257" w:rsidRDefault="00FD4E06" w:rsidP="00BE4257">
      <w:pPr>
        <w:pStyle w:val="ListParagraph"/>
        <w:numPr>
          <w:ilvl w:val="0"/>
          <w:numId w:val="12"/>
        </w:numPr>
        <w:jc w:val="both"/>
        <w:rPr>
          <w:rFonts w:asciiTheme="minorHAnsi" w:hAnsiTheme="minorHAnsi" w:cstheme="minorHAnsi"/>
          <w:lang w:val="en-US"/>
        </w:rPr>
      </w:pPr>
      <w:r w:rsidRPr="00BE4257">
        <w:rPr>
          <w:rFonts w:asciiTheme="minorHAnsi" w:hAnsiTheme="minorHAnsi" w:cstheme="minorHAnsi"/>
          <w:lang w:val="en-US"/>
        </w:rPr>
        <w:t>An agreement between the provider of the programme and at least two other providers that an enrolled learner may transfer to a similar programme of those other providers.</w:t>
      </w:r>
    </w:p>
    <w:p w:rsidR="00FD4E06" w:rsidRPr="00BE4257" w:rsidRDefault="00FD4E06" w:rsidP="00BE4257">
      <w:pPr>
        <w:pStyle w:val="ListParagraph"/>
        <w:numPr>
          <w:ilvl w:val="0"/>
          <w:numId w:val="12"/>
        </w:numPr>
        <w:jc w:val="both"/>
        <w:rPr>
          <w:rFonts w:asciiTheme="minorHAnsi" w:hAnsiTheme="minorHAnsi" w:cstheme="minorHAnsi"/>
          <w:lang w:val="en-US"/>
        </w:rPr>
      </w:pPr>
      <w:r w:rsidRPr="00BE4257">
        <w:rPr>
          <w:rFonts w:asciiTheme="minorHAnsi" w:hAnsiTheme="minorHAnsi" w:cstheme="minorHAnsi"/>
          <w:lang w:val="en-US"/>
        </w:rPr>
        <w:t xml:space="preserve">Where the provider considers with the agreement of </w:t>
      </w:r>
      <w:r w:rsidR="00017ED8" w:rsidRPr="00BE4257">
        <w:rPr>
          <w:rFonts w:asciiTheme="minorHAnsi" w:hAnsiTheme="minorHAnsi" w:cstheme="minorHAnsi"/>
          <w:lang w:val="en-US"/>
        </w:rPr>
        <w:t>TU Dublin</w:t>
      </w:r>
      <w:r w:rsidRPr="00BE4257">
        <w:rPr>
          <w:rFonts w:asciiTheme="minorHAnsi" w:hAnsiTheme="minorHAnsi" w:cstheme="minorHAnsi"/>
          <w:lang w:val="en-US"/>
        </w:rPr>
        <w:t xml:space="preserve"> that it is not practicable to comply with the above requirement,</w:t>
      </w:r>
      <w:r w:rsidR="00017ED8" w:rsidRPr="00BE4257">
        <w:rPr>
          <w:rFonts w:asciiTheme="minorHAnsi" w:hAnsiTheme="minorHAnsi" w:cstheme="minorHAnsi"/>
          <w:lang w:val="en-US"/>
        </w:rPr>
        <w:t xml:space="preserve"> the provider must submit to TU Dublin</w:t>
      </w:r>
      <w:r w:rsidRPr="00BE4257">
        <w:rPr>
          <w:rFonts w:asciiTheme="minorHAnsi" w:hAnsiTheme="minorHAnsi" w:cstheme="minorHAnsi"/>
          <w:lang w:val="en-US"/>
        </w:rPr>
        <w:t xml:space="preserve"> details of the</w:t>
      </w:r>
      <w:r w:rsidR="00893EDE" w:rsidRPr="00BE4257">
        <w:rPr>
          <w:rFonts w:asciiTheme="minorHAnsi" w:hAnsiTheme="minorHAnsi" w:cstheme="minorHAnsi"/>
          <w:lang w:val="en-US"/>
        </w:rPr>
        <w:t xml:space="preserve"> </w:t>
      </w:r>
      <w:r w:rsidR="000E26EB" w:rsidRPr="00BE4257">
        <w:rPr>
          <w:rFonts w:asciiTheme="minorHAnsi" w:hAnsiTheme="minorHAnsi" w:cstheme="minorHAnsi"/>
          <w:lang w:val="en-US"/>
        </w:rPr>
        <w:t>financial</w:t>
      </w:r>
      <w:r w:rsidRPr="00BE4257">
        <w:rPr>
          <w:rFonts w:asciiTheme="minorHAnsi" w:hAnsiTheme="minorHAnsi" w:cstheme="minorHAnsi"/>
          <w:lang w:val="en-US"/>
        </w:rPr>
        <w:t xml:space="preserve"> arrangements that have been put in place which enable that provider to refund to an enrolled learner (or to the person who paid the moneys on behalf of the enrolled learner) the moneys most recently paid (i.e. for current </w:t>
      </w:r>
      <w:r w:rsidR="00FA7491" w:rsidRPr="00BE4257">
        <w:rPr>
          <w:rFonts w:asciiTheme="minorHAnsi" w:hAnsiTheme="minorHAnsi" w:cstheme="minorHAnsi"/>
          <w:lang w:val="en-US"/>
        </w:rPr>
        <w:t xml:space="preserve">academic </w:t>
      </w:r>
      <w:r w:rsidRPr="00BE4257">
        <w:rPr>
          <w:rFonts w:asciiTheme="minorHAnsi" w:hAnsiTheme="minorHAnsi" w:cstheme="minorHAnsi"/>
          <w:lang w:val="en-US"/>
        </w:rPr>
        <w:t>year) for the programme concerned for:</w:t>
      </w:r>
    </w:p>
    <w:p w:rsidR="00FD4E06" w:rsidRPr="00BE4257" w:rsidRDefault="00FD4E06" w:rsidP="00BE4257">
      <w:pPr>
        <w:pStyle w:val="ListParagraph"/>
        <w:numPr>
          <w:ilvl w:val="1"/>
          <w:numId w:val="3"/>
        </w:numPr>
        <w:jc w:val="both"/>
        <w:rPr>
          <w:rFonts w:asciiTheme="minorHAnsi" w:hAnsiTheme="minorHAnsi" w:cstheme="minorHAnsi"/>
          <w:lang w:val="en-US"/>
        </w:rPr>
      </w:pPr>
      <w:r w:rsidRPr="00BE4257">
        <w:rPr>
          <w:rFonts w:asciiTheme="minorHAnsi" w:hAnsiTheme="minorHAnsi" w:cstheme="minorHAnsi"/>
          <w:lang w:val="en-US"/>
        </w:rPr>
        <w:t>Tuition Fees</w:t>
      </w:r>
    </w:p>
    <w:p w:rsidR="00FD4E06" w:rsidRPr="00BE4257" w:rsidRDefault="00FD4E06" w:rsidP="00BE4257">
      <w:pPr>
        <w:pStyle w:val="ListParagraph"/>
        <w:numPr>
          <w:ilvl w:val="1"/>
          <w:numId w:val="3"/>
        </w:numPr>
        <w:jc w:val="both"/>
        <w:rPr>
          <w:rFonts w:asciiTheme="minorHAnsi" w:hAnsiTheme="minorHAnsi" w:cstheme="minorHAnsi"/>
          <w:lang w:val="en-US"/>
        </w:rPr>
      </w:pPr>
      <w:r w:rsidRPr="00BE4257">
        <w:rPr>
          <w:rFonts w:asciiTheme="minorHAnsi" w:hAnsiTheme="minorHAnsi" w:cstheme="minorHAnsi"/>
          <w:lang w:val="en-US"/>
        </w:rPr>
        <w:t>Registration Fees</w:t>
      </w:r>
    </w:p>
    <w:p w:rsidR="00FD4E06" w:rsidRPr="00BE4257" w:rsidRDefault="00FD4E06" w:rsidP="00BE4257">
      <w:pPr>
        <w:pStyle w:val="ListParagraph"/>
        <w:numPr>
          <w:ilvl w:val="1"/>
          <w:numId w:val="3"/>
        </w:numPr>
        <w:jc w:val="both"/>
        <w:rPr>
          <w:rFonts w:asciiTheme="minorHAnsi" w:hAnsiTheme="minorHAnsi" w:cstheme="minorHAnsi"/>
          <w:lang w:val="en-US"/>
        </w:rPr>
      </w:pPr>
      <w:r w:rsidRPr="00BE4257">
        <w:rPr>
          <w:rFonts w:asciiTheme="minorHAnsi" w:hAnsiTheme="minorHAnsi" w:cstheme="minorHAnsi"/>
          <w:lang w:val="en-US"/>
        </w:rPr>
        <w:t>Examination Fees</w:t>
      </w:r>
    </w:p>
    <w:p w:rsidR="00FD4E06" w:rsidRPr="00BE4257" w:rsidRDefault="00FD4E06" w:rsidP="00BE4257">
      <w:pPr>
        <w:pStyle w:val="ListParagraph"/>
        <w:numPr>
          <w:ilvl w:val="1"/>
          <w:numId w:val="3"/>
        </w:numPr>
        <w:jc w:val="both"/>
        <w:rPr>
          <w:rFonts w:asciiTheme="minorHAnsi" w:hAnsiTheme="minorHAnsi" w:cstheme="minorHAnsi"/>
          <w:lang w:val="en-US"/>
        </w:rPr>
      </w:pPr>
      <w:r w:rsidRPr="00BE4257">
        <w:rPr>
          <w:rFonts w:asciiTheme="minorHAnsi" w:hAnsiTheme="minorHAnsi" w:cstheme="minorHAnsi"/>
          <w:lang w:val="en-US"/>
        </w:rPr>
        <w:t>Library Fees</w:t>
      </w:r>
    </w:p>
    <w:p w:rsidR="00FD4E06" w:rsidRPr="00BE4257" w:rsidRDefault="00FD4E06" w:rsidP="00BE4257">
      <w:pPr>
        <w:pStyle w:val="ListParagraph"/>
        <w:numPr>
          <w:ilvl w:val="1"/>
          <w:numId w:val="3"/>
        </w:numPr>
        <w:jc w:val="both"/>
        <w:rPr>
          <w:rFonts w:asciiTheme="minorHAnsi" w:hAnsiTheme="minorHAnsi" w:cstheme="minorHAnsi"/>
          <w:lang w:val="en-US"/>
        </w:rPr>
      </w:pPr>
      <w:r w:rsidRPr="00BE4257">
        <w:rPr>
          <w:rFonts w:asciiTheme="minorHAnsi" w:hAnsiTheme="minorHAnsi" w:cstheme="minorHAnsi"/>
          <w:lang w:val="en-US"/>
        </w:rPr>
        <w:t>Student Services Fees</w:t>
      </w:r>
    </w:p>
    <w:p w:rsidR="00FD4E06" w:rsidRPr="00BE4257" w:rsidRDefault="00FD4E06" w:rsidP="00BE4257">
      <w:pPr>
        <w:pStyle w:val="ListParagraph"/>
        <w:numPr>
          <w:ilvl w:val="1"/>
          <w:numId w:val="3"/>
        </w:numPr>
        <w:jc w:val="both"/>
        <w:rPr>
          <w:rFonts w:asciiTheme="minorHAnsi" w:hAnsiTheme="minorHAnsi" w:cstheme="minorHAnsi"/>
          <w:lang w:val="en-US"/>
        </w:rPr>
      </w:pPr>
      <w:r w:rsidRPr="00BE4257">
        <w:rPr>
          <w:rFonts w:asciiTheme="minorHAnsi" w:hAnsiTheme="minorHAnsi" w:cstheme="minorHAnsi"/>
          <w:lang w:val="en-US"/>
        </w:rPr>
        <w:t>Any other fees relating to the provision of education, training and relation services.</w:t>
      </w:r>
    </w:p>
    <w:p w:rsidR="00F245E0" w:rsidRPr="00BE4257" w:rsidRDefault="00F245E0" w:rsidP="00BE4257">
      <w:pPr>
        <w:pStyle w:val="ListParagraph"/>
        <w:ind w:left="1080"/>
        <w:jc w:val="both"/>
        <w:rPr>
          <w:rFonts w:asciiTheme="minorHAnsi" w:hAnsiTheme="minorHAnsi" w:cstheme="minorHAnsi"/>
          <w:lang w:val="en-US"/>
        </w:rPr>
      </w:pPr>
      <w:r w:rsidRPr="00BE4257">
        <w:rPr>
          <w:rFonts w:asciiTheme="minorHAnsi" w:hAnsiTheme="minorHAnsi" w:cstheme="minorHAnsi"/>
          <w:lang w:val="en-US"/>
        </w:rPr>
        <w:t xml:space="preserve">This documentation should be accompanied by a letter from each relevant financial institution.  </w:t>
      </w:r>
    </w:p>
    <w:p w:rsidR="00FD4E06" w:rsidRPr="00BE4257" w:rsidRDefault="00FD4E06" w:rsidP="00BE4257">
      <w:pPr>
        <w:pStyle w:val="ListParagraph"/>
        <w:ind w:left="0"/>
        <w:jc w:val="both"/>
        <w:rPr>
          <w:rFonts w:asciiTheme="minorHAnsi" w:hAnsiTheme="minorHAnsi" w:cstheme="minorHAnsi"/>
          <w:lang w:val="en-US"/>
        </w:rPr>
      </w:pPr>
    </w:p>
    <w:p w:rsidR="00ED485D" w:rsidRPr="00BE4257" w:rsidRDefault="00ED485D"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Linked providers </w:t>
      </w:r>
      <w:r w:rsidR="00017ED8" w:rsidRPr="00BE4257">
        <w:rPr>
          <w:rFonts w:asciiTheme="minorHAnsi" w:hAnsiTheme="minorHAnsi" w:cstheme="minorHAnsi"/>
          <w:lang w:val="en-US"/>
        </w:rPr>
        <w:t>must provide confirmation to TU Dublin</w:t>
      </w:r>
      <w:r w:rsidRPr="00BE4257">
        <w:rPr>
          <w:rFonts w:asciiTheme="minorHAnsi" w:hAnsiTheme="minorHAnsi" w:cstheme="minorHAnsi"/>
          <w:lang w:val="en-US"/>
        </w:rPr>
        <w:t xml:space="preserve"> that they have undertaken a due diligence exercise and have satisfied themselves that the PEL arrangements are adequate and meets their legal requirements in respect o</w:t>
      </w:r>
      <w:r w:rsidR="0011034E" w:rsidRPr="00BE4257">
        <w:rPr>
          <w:rFonts w:asciiTheme="minorHAnsi" w:hAnsiTheme="minorHAnsi" w:cstheme="minorHAnsi"/>
          <w:lang w:val="en-US"/>
        </w:rPr>
        <w:t>f PEL.  They must confirm to TU Dublin</w:t>
      </w:r>
      <w:r w:rsidRPr="00BE4257">
        <w:rPr>
          <w:rFonts w:asciiTheme="minorHAnsi" w:hAnsiTheme="minorHAnsi" w:cstheme="minorHAnsi"/>
          <w:lang w:val="en-US"/>
        </w:rPr>
        <w:t xml:space="preserve"> that the alternative providers proposed:</w:t>
      </w:r>
    </w:p>
    <w:p w:rsidR="00ED485D" w:rsidRPr="00BE4257" w:rsidRDefault="00ED485D" w:rsidP="00BE4257">
      <w:pPr>
        <w:pStyle w:val="ListParagraph"/>
        <w:numPr>
          <w:ilvl w:val="0"/>
          <w:numId w:val="5"/>
        </w:numPr>
        <w:jc w:val="both"/>
        <w:rPr>
          <w:rFonts w:asciiTheme="minorHAnsi" w:hAnsiTheme="minorHAnsi" w:cstheme="minorHAnsi"/>
          <w:lang w:val="en-US"/>
        </w:rPr>
      </w:pPr>
      <w:r w:rsidRPr="00BE4257">
        <w:rPr>
          <w:rFonts w:asciiTheme="minorHAnsi" w:hAnsiTheme="minorHAnsi" w:cstheme="minorHAnsi"/>
          <w:lang w:val="en-US"/>
        </w:rPr>
        <w:t>Are separate legal and financial entities from the linked provider</w:t>
      </w:r>
    </w:p>
    <w:p w:rsidR="00ED485D" w:rsidRPr="00BE4257" w:rsidRDefault="00ED485D" w:rsidP="00BE4257">
      <w:pPr>
        <w:pStyle w:val="ListParagraph"/>
        <w:numPr>
          <w:ilvl w:val="0"/>
          <w:numId w:val="5"/>
        </w:numPr>
        <w:jc w:val="both"/>
        <w:rPr>
          <w:rFonts w:asciiTheme="minorHAnsi" w:hAnsiTheme="minorHAnsi" w:cstheme="minorHAnsi"/>
          <w:lang w:val="en-US"/>
        </w:rPr>
      </w:pPr>
      <w:r w:rsidRPr="00BE4257">
        <w:rPr>
          <w:rFonts w:asciiTheme="minorHAnsi" w:hAnsiTheme="minorHAnsi" w:cstheme="minorHAnsi"/>
          <w:lang w:val="en-US"/>
        </w:rPr>
        <w:t>Have the capacity to meet their obligations under the PEL arrangement</w:t>
      </w:r>
    </w:p>
    <w:p w:rsidR="00ED485D" w:rsidRPr="00BE4257" w:rsidRDefault="00ED485D" w:rsidP="00BE4257">
      <w:pPr>
        <w:pStyle w:val="ListParagraph"/>
        <w:numPr>
          <w:ilvl w:val="0"/>
          <w:numId w:val="5"/>
        </w:numPr>
        <w:jc w:val="both"/>
        <w:rPr>
          <w:rFonts w:asciiTheme="minorHAnsi" w:hAnsiTheme="minorHAnsi" w:cstheme="minorHAnsi"/>
          <w:lang w:val="en-US"/>
        </w:rPr>
      </w:pPr>
      <w:r w:rsidRPr="00BE4257">
        <w:rPr>
          <w:rFonts w:asciiTheme="minorHAnsi" w:hAnsiTheme="minorHAnsi" w:cstheme="minorHAnsi"/>
          <w:lang w:val="en-US"/>
        </w:rPr>
        <w:t xml:space="preserve">Have specified the maximum number of learners that can be accommodated by each of the proposed alternative providers should the PEL arrangement be activated.  </w:t>
      </w:r>
    </w:p>
    <w:p w:rsidR="00BE4257" w:rsidRDefault="00BE4257" w:rsidP="00BE4257">
      <w:pPr>
        <w:pStyle w:val="ListParagraph"/>
        <w:ind w:left="0"/>
        <w:jc w:val="both"/>
        <w:rPr>
          <w:rFonts w:asciiTheme="minorHAnsi" w:hAnsiTheme="minorHAnsi" w:cstheme="minorHAnsi"/>
          <w:lang w:val="en-US"/>
        </w:rPr>
      </w:pPr>
    </w:p>
    <w:p w:rsidR="00ED485D" w:rsidRPr="00BE4257" w:rsidRDefault="00ED485D"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They must provide letters from the named alternate providers confirming the PEL arrangement.  The evidence outlined above will </w:t>
      </w:r>
      <w:r w:rsidR="0011034E" w:rsidRPr="00BE4257">
        <w:rPr>
          <w:rFonts w:asciiTheme="minorHAnsi" w:hAnsiTheme="minorHAnsi" w:cstheme="minorHAnsi"/>
          <w:lang w:val="en-US"/>
        </w:rPr>
        <w:t>be accepted in good faith by TU Dublin</w:t>
      </w:r>
      <w:r w:rsidRPr="00BE4257">
        <w:rPr>
          <w:rFonts w:asciiTheme="minorHAnsi" w:hAnsiTheme="minorHAnsi" w:cstheme="minorHAnsi"/>
          <w:lang w:val="en-US"/>
        </w:rPr>
        <w:t xml:space="preserve"> on the basis that full disclosure is made on the part of the linked provider of all information pertinent to the PEL arrangements and their potential effectiveness; the onus is on the linked provider to submit complete and accurate information in all cases.  If </w:t>
      </w:r>
      <w:r w:rsidR="0011034E" w:rsidRPr="00BE4257">
        <w:rPr>
          <w:rFonts w:asciiTheme="minorHAnsi" w:hAnsiTheme="minorHAnsi" w:cstheme="minorHAnsi"/>
          <w:lang w:val="en-US"/>
        </w:rPr>
        <w:t>it comes to the attention of TU Dublin</w:t>
      </w:r>
      <w:r w:rsidRPr="00BE4257">
        <w:rPr>
          <w:rFonts w:asciiTheme="minorHAnsi" w:hAnsiTheme="minorHAnsi" w:cstheme="minorHAnsi"/>
          <w:lang w:val="en-US"/>
        </w:rPr>
        <w:t xml:space="preserve"> that a linked provider has not disclosed all relevant information, or has deliberately withheld </w:t>
      </w:r>
      <w:r w:rsidR="00F36A87" w:rsidRPr="00BE4257">
        <w:rPr>
          <w:rFonts w:asciiTheme="minorHAnsi" w:hAnsiTheme="minorHAnsi" w:cstheme="minorHAnsi"/>
          <w:lang w:val="en-US"/>
        </w:rPr>
        <w:t xml:space="preserve">or </w:t>
      </w:r>
      <w:r w:rsidRPr="00BE4257">
        <w:rPr>
          <w:rFonts w:asciiTheme="minorHAnsi" w:hAnsiTheme="minorHAnsi" w:cstheme="minorHAnsi"/>
          <w:lang w:val="en-US"/>
        </w:rPr>
        <w:t xml:space="preserve">misrepresented relevant information, the programme validation may be reconsidered.  </w:t>
      </w:r>
    </w:p>
    <w:p w:rsidR="00ED485D" w:rsidRPr="00BE4257" w:rsidRDefault="00ED485D" w:rsidP="00BE4257">
      <w:pPr>
        <w:pStyle w:val="ListParagraph"/>
        <w:ind w:left="0"/>
        <w:jc w:val="both"/>
        <w:rPr>
          <w:rFonts w:asciiTheme="minorHAnsi" w:hAnsiTheme="minorHAnsi" w:cstheme="minorHAnsi"/>
          <w:lang w:val="en-US"/>
        </w:rPr>
      </w:pPr>
    </w:p>
    <w:p w:rsidR="00ED485D" w:rsidRPr="00BE4257" w:rsidRDefault="00ED485D" w:rsidP="00BE4257">
      <w:pPr>
        <w:pStyle w:val="ListParagraph"/>
        <w:ind w:left="0"/>
        <w:jc w:val="both"/>
        <w:rPr>
          <w:rFonts w:asciiTheme="minorHAnsi" w:hAnsiTheme="minorHAnsi" w:cstheme="minorHAnsi"/>
          <w:b/>
          <w:sz w:val="24"/>
          <w:szCs w:val="24"/>
          <w:lang w:val="en-US"/>
        </w:rPr>
      </w:pPr>
      <w:r w:rsidRPr="00BE4257">
        <w:rPr>
          <w:rFonts w:asciiTheme="minorHAnsi" w:hAnsiTheme="minorHAnsi" w:cstheme="minorHAnsi"/>
          <w:b/>
          <w:sz w:val="24"/>
          <w:szCs w:val="24"/>
          <w:lang w:val="en-US"/>
        </w:rPr>
        <w:t>Alternative Provision arrangements</w:t>
      </w:r>
    </w:p>
    <w:p w:rsidR="00FD4E06" w:rsidRPr="00BE4257" w:rsidRDefault="0011034E"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If it is agreed that TU Dublin</w:t>
      </w:r>
      <w:r w:rsidR="00FD4E06" w:rsidRPr="00BE4257">
        <w:rPr>
          <w:rFonts w:asciiTheme="minorHAnsi" w:hAnsiTheme="minorHAnsi" w:cstheme="minorHAnsi"/>
          <w:lang w:val="en-US"/>
        </w:rPr>
        <w:t xml:space="preserve"> itself </w:t>
      </w:r>
      <w:r w:rsidR="00ED485D" w:rsidRPr="00BE4257">
        <w:rPr>
          <w:rFonts w:asciiTheme="minorHAnsi" w:hAnsiTheme="minorHAnsi" w:cstheme="minorHAnsi"/>
          <w:lang w:val="en-US"/>
        </w:rPr>
        <w:t xml:space="preserve">as part of the </w:t>
      </w:r>
      <w:r w:rsidR="00E97DA8" w:rsidRPr="00BE4257">
        <w:rPr>
          <w:rFonts w:asciiTheme="minorHAnsi" w:hAnsiTheme="minorHAnsi" w:cstheme="minorHAnsi"/>
          <w:lang w:val="en-US"/>
        </w:rPr>
        <w:t>PEL</w:t>
      </w:r>
      <w:r w:rsidR="00ED485D" w:rsidRPr="00BE4257">
        <w:rPr>
          <w:rFonts w:asciiTheme="minorHAnsi" w:hAnsiTheme="minorHAnsi" w:cstheme="minorHAnsi"/>
          <w:lang w:val="en-US"/>
        </w:rPr>
        <w:t xml:space="preserve"> arrangements </w:t>
      </w:r>
      <w:r w:rsidR="00FD4E06" w:rsidRPr="00BE4257">
        <w:rPr>
          <w:rFonts w:asciiTheme="minorHAnsi" w:hAnsiTheme="minorHAnsi" w:cstheme="minorHAnsi"/>
          <w:lang w:val="en-US"/>
        </w:rPr>
        <w:t xml:space="preserve">will be </w:t>
      </w:r>
      <w:r w:rsidR="00ED485D" w:rsidRPr="00BE4257">
        <w:rPr>
          <w:rFonts w:asciiTheme="minorHAnsi" w:hAnsiTheme="minorHAnsi" w:cstheme="minorHAnsi"/>
          <w:lang w:val="en-US"/>
        </w:rPr>
        <w:t>an</w:t>
      </w:r>
      <w:r w:rsidR="00FD4E06" w:rsidRPr="00BE4257">
        <w:rPr>
          <w:rFonts w:asciiTheme="minorHAnsi" w:hAnsiTheme="minorHAnsi" w:cstheme="minorHAnsi"/>
          <w:lang w:val="en-US"/>
        </w:rPr>
        <w:t xml:space="preserve"> alternative provider</w:t>
      </w:r>
      <w:r w:rsidR="00ED485D" w:rsidRPr="00BE4257">
        <w:rPr>
          <w:rFonts w:asciiTheme="minorHAnsi" w:hAnsiTheme="minorHAnsi" w:cstheme="minorHAnsi"/>
          <w:lang w:val="en-US"/>
        </w:rPr>
        <w:t xml:space="preserve"> for either a Collaborative / joint or linked provider a</w:t>
      </w:r>
      <w:r w:rsidR="00FD4E06" w:rsidRPr="00BE4257">
        <w:rPr>
          <w:rFonts w:asciiTheme="minorHAnsi" w:hAnsiTheme="minorHAnsi" w:cstheme="minorHAnsi"/>
          <w:lang w:val="en-US"/>
        </w:rPr>
        <w:t>s mentioned above, a comprehensive programme costings analysis must b</w:t>
      </w:r>
      <w:r w:rsidRPr="00BE4257">
        <w:rPr>
          <w:rFonts w:asciiTheme="minorHAnsi" w:hAnsiTheme="minorHAnsi" w:cstheme="minorHAnsi"/>
          <w:lang w:val="en-US"/>
        </w:rPr>
        <w:t>e undertaken by the relevant TU Dublin</w:t>
      </w:r>
      <w:r w:rsidR="00FD4E06" w:rsidRPr="00BE4257">
        <w:rPr>
          <w:rFonts w:asciiTheme="minorHAnsi" w:hAnsiTheme="minorHAnsi" w:cstheme="minorHAnsi"/>
          <w:lang w:val="en-US"/>
        </w:rPr>
        <w:t xml:space="preserve"> school and submitted </w:t>
      </w:r>
      <w:r w:rsidR="00D661A0" w:rsidRPr="00BE4257">
        <w:rPr>
          <w:rFonts w:asciiTheme="minorHAnsi" w:hAnsiTheme="minorHAnsi" w:cstheme="minorHAnsi"/>
          <w:lang w:val="en-US"/>
        </w:rPr>
        <w:t xml:space="preserve">through </w:t>
      </w:r>
      <w:r w:rsidR="00191103">
        <w:rPr>
          <w:rFonts w:asciiTheme="minorHAnsi" w:hAnsiTheme="minorHAnsi" w:cstheme="minorHAnsi"/>
          <w:lang w:val="en-US"/>
        </w:rPr>
        <w:t>to the Partnership Office and Academic Affairs</w:t>
      </w:r>
      <w:r w:rsidR="00FD4E06" w:rsidRPr="00BE4257">
        <w:rPr>
          <w:rFonts w:asciiTheme="minorHAnsi" w:hAnsiTheme="minorHAnsi" w:cstheme="minorHAnsi"/>
          <w:lang w:val="en-US"/>
        </w:rPr>
        <w:t>.  This costing should include provision for teaching, use of facilities, acquisition of specialized equipment if applicable and all relevant consum</w:t>
      </w:r>
      <w:r w:rsidR="00B06AA4" w:rsidRPr="00BE4257">
        <w:rPr>
          <w:rFonts w:asciiTheme="minorHAnsi" w:hAnsiTheme="minorHAnsi" w:cstheme="minorHAnsi"/>
          <w:lang w:val="en-US"/>
        </w:rPr>
        <w:t>a</w:t>
      </w:r>
      <w:r w:rsidR="00FD4E06" w:rsidRPr="00BE4257">
        <w:rPr>
          <w:rFonts w:asciiTheme="minorHAnsi" w:hAnsiTheme="minorHAnsi" w:cstheme="minorHAnsi"/>
          <w:lang w:val="en-US"/>
        </w:rPr>
        <w:t xml:space="preserve">bles.  </w:t>
      </w:r>
      <w:r w:rsidR="00FA7491" w:rsidRPr="00BE4257">
        <w:rPr>
          <w:rFonts w:asciiTheme="minorHAnsi" w:hAnsiTheme="minorHAnsi" w:cstheme="minorHAnsi"/>
          <w:lang w:val="en-US"/>
        </w:rPr>
        <w:t xml:space="preserve">This analysis will also include a commentary on whether the programme is within the skill set of </w:t>
      </w:r>
      <w:r w:rsidRPr="00BE4257">
        <w:rPr>
          <w:rFonts w:asciiTheme="minorHAnsi" w:hAnsiTheme="minorHAnsi" w:cstheme="minorHAnsi"/>
          <w:lang w:val="en-US"/>
        </w:rPr>
        <w:t>TU Dublin</w:t>
      </w:r>
      <w:r w:rsidR="00FA7491" w:rsidRPr="00BE4257">
        <w:rPr>
          <w:rFonts w:asciiTheme="minorHAnsi" w:hAnsiTheme="minorHAnsi" w:cstheme="minorHAnsi"/>
          <w:lang w:val="en-US"/>
        </w:rPr>
        <w:t xml:space="preserve"> to deliver and details of similar programmes curren</w:t>
      </w:r>
      <w:r w:rsidRPr="00BE4257">
        <w:rPr>
          <w:rFonts w:asciiTheme="minorHAnsi" w:hAnsiTheme="minorHAnsi" w:cstheme="minorHAnsi"/>
          <w:lang w:val="en-US"/>
        </w:rPr>
        <w:t>tly running within TU Dublin</w:t>
      </w:r>
      <w:r w:rsidR="00FA7491" w:rsidRPr="00BE4257">
        <w:rPr>
          <w:rFonts w:asciiTheme="minorHAnsi" w:hAnsiTheme="minorHAnsi" w:cstheme="minorHAnsi"/>
          <w:lang w:val="en-US"/>
        </w:rPr>
        <w:t xml:space="preserve"> that students may transfer onto.  </w:t>
      </w:r>
      <w:r w:rsidR="008F36C8" w:rsidRPr="00BE4257">
        <w:rPr>
          <w:rFonts w:asciiTheme="minorHAnsi" w:hAnsiTheme="minorHAnsi" w:cstheme="minorHAnsi"/>
          <w:lang w:val="en-US"/>
        </w:rPr>
        <w:t xml:space="preserve">This analysis should also indicate where the funding to cover this alternative provision will be provided (e.g. School’s </w:t>
      </w:r>
      <w:r w:rsidR="00BE4257" w:rsidRPr="00BE4257">
        <w:rPr>
          <w:rFonts w:asciiTheme="minorHAnsi" w:hAnsiTheme="minorHAnsi" w:cstheme="minorHAnsi"/>
          <w:lang w:val="en-US"/>
        </w:rPr>
        <w:t>self-generated</w:t>
      </w:r>
      <w:r w:rsidR="008F36C8" w:rsidRPr="00BE4257">
        <w:rPr>
          <w:rFonts w:asciiTheme="minorHAnsi" w:hAnsiTheme="minorHAnsi" w:cstheme="minorHAnsi"/>
          <w:lang w:val="en-US"/>
        </w:rPr>
        <w:t xml:space="preserve"> income)</w:t>
      </w:r>
    </w:p>
    <w:p w:rsidR="00893EDE" w:rsidRPr="00BE4257" w:rsidRDefault="00893EDE" w:rsidP="00BE4257">
      <w:pPr>
        <w:pStyle w:val="ListParagraph"/>
        <w:ind w:left="0"/>
        <w:jc w:val="both"/>
        <w:rPr>
          <w:rFonts w:asciiTheme="minorHAnsi" w:hAnsiTheme="minorHAnsi" w:cstheme="minorHAnsi"/>
          <w:lang w:val="en-US"/>
        </w:rPr>
      </w:pPr>
    </w:p>
    <w:p w:rsidR="005072AC" w:rsidRPr="00BE4257" w:rsidRDefault="00893EDE"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The agreement with </w:t>
      </w:r>
      <w:r w:rsidR="00ED485D" w:rsidRPr="00BE4257">
        <w:rPr>
          <w:rFonts w:asciiTheme="minorHAnsi" w:hAnsiTheme="minorHAnsi" w:cstheme="minorHAnsi"/>
          <w:lang w:val="en-US"/>
        </w:rPr>
        <w:t xml:space="preserve">all suggested </w:t>
      </w:r>
      <w:r w:rsidRPr="00BE4257">
        <w:rPr>
          <w:rFonts w:asciiTheme="minorHAnsi" w:hAnsiTheme="minorHAnsi" w:cstheme="minorHAnsi"/>
          <w:lang w:val="en-US"/>
        </w:rPr>
        <w:t>alternative providers</w:t>
      </w:r>
      <w:r w:rsidR="0011034E" w:rsidRPr="00BE4257">
        <w:rPr>
          <w:rFonts w:asciiTheme="minorHAnsi" w:hAnsiTheme="minorHAnsi" w:cstheme="minorHAnsi"/>
          <w:lang w:val="en-US"/>
        </w:rPr>
        <w:t xml:space="preserve"> including TU Dublin</w:t>
      </w:r>
      <w:r w:rsidR="005072AC" w:rsidRPr="00BE4257">
        <w:rPr>
          <w:rFonts w:asciiTheme="minorHAnsi" w:hAnsiTheme="minorHAnsi" w:cstheme="minorHAnsi"/>
          <w:lang w:val="en-US"/>
        </w:rPr>
        <w:t>,</w:t>
      </w:r>
      <w:r w:rsidRPr="00BE4257">
        <w:rPr>
          <w:rFonts w:asciiTheme="minorHAnsi" w:hAnsiTheme="minorHAnsi" w:cstheme="minorHAnsi"/>
          <w:lang w:val="en-US"/>
        </w:rPr>
        <w:t xml:space="preserve"> must outline the process to be followed should the protection of learners alternative provision need to be activated.  This agreement will detail</w:t>
      </w:r>
      <w:r w:rsidR="005072AC" w:rsidRPr="00BE4257">
        <w:rPr>
          <w:rFonts w:asciiTheme="minorHAnsi" w:hAnsiTheme="minorHAnsi" w:cstheme="minorHAnsi"/>
          <w:lang w:val="en-US"/>
        </w:rPr>
        <w:t>:</w:t>
      </w:r>
    </w:p>
    <w:p w:rsidR="005072AC" w:rsidRPr="00BE4257" w:rsidRDefault="00BE4257" w:rsidP="00BE4257">
      <w:pPr>
        <w:pStyle w:val="ListParagraph"/>
        <w:numPr>
          <w:ilvl w:val="0"/>
          <w:numId w:val="7"/>
        </w:numPr>
        <w:jc w:val="both"/>
        <w:rPr>
          <w:rFonts w:asciiTheme="minorHAnsi" w:hAnsiTheme="minorHAnsi" w:cstheme="minorHAnsi"/>
          <w:lang w:val="en-US"/>
        </w:rPr>
      </w:pPr>
      <w:r w:rsidRPr="00BE4257">
        <w:rPr>
          <w:rFonts w:asciiTheme="minorHAnsi" w:hAnsiTheme="minorHAnsi" w:cstheme="minorHAnsi"/>
          <w:lang w:val="en-US"/>
        </w:rPr>
        <w:t>How</w:t>
      </w:r>
      <w:r w:rsidR="00893EDE" w:rsidRPr="00BE4257">
        <w:rPr>
          <w:rFonts w:asciiTheme="minorHAnsi" w:hAnsiTheme="minorHAnsi" w:cstheme="minorHAnsi"/>
          <w:lang w:val="en-US"/>
        </w:rPr>
        <w:t xml:space="preserve"> the alternative provider will be given access to learner records</w:t>
      </w:r>
      <w:r w:rsidR="000E26EB" w:rsidRPr="00BE4257">
        <w:rPr>
          <w:rFonts w:asciiTheme="minorHAnsi" w:hAnsiTheme="minorHAnsi" w:cstheme="minorHAnsi"/>
          <w:lang w:val="en-US"/>
        </w:rPr>
        <w:t>, including fee payment records and assessment material</w:t>
      </w:r>
      <w:r w:rsidR="00893EDE" w:rsidRPr="00BE4257">
        <w:rPr>
          <w:rFonts w:asciiTheme="minorHAnsi" w:hAnsiTheme="minorHAnsi" w:cstheme="minorHAnsi"/>
          <w:lang w:val="en-US"/>
        </w:rPr>
        <w:t xml:space="preserve"> and any other resources that will be required to enable the alternative provider complete the delivery of the programme.  </w:t>
      </w:r>
    </w:p>
    <w:p w:rsidR="005072AC" w:rsidRDefault="000E26EB" w:rsidP="00BE4257">
      <w:pPr>
        <w:pStyle w:val="ListParagraph"/>
        <w:numPr>
          <w:ilvl w:val="0"/>
          <w:numId w:val="7"/>
        </w:numPr>
        <w:jc w:val="both"/>
        <w:rPr>
          <w:rFonts w:asciiTheme="minorHAnsi" w:hAnsiTheme="minorHAnsi" w:cstheme="minorHAnsi"/>
          <w:lang w:val="en-US"/>
        </w:rPr>
      </w:pPr>
      <w:r w:rsidRPr="00BE4257">
        <w:rPr>
          <w:rFonts w:asciiTheme="minorHAnsi" w:hAnsiTheme="minorHAnsi" w:cstheme="minorHAnsi"/>
          <w:lang w:val="en-US"/>
        </w:rPr>
        <w:t xml:space="preserve">Intellectual Property (IP) and data sharing issues, including compliance with current legislation </w:t>
      </w:r>
    </w:p>
    <w:p w:rsidR="00BE4257" w:rsidRPr="00BE4257" w:rsidRDefault="00BE4257" w:rsidP="00BE4257">
      <w:pPr>
        <w:pStyle w:val="ListParagraph"/>
        <w:jc w:val="both"/>
        <w:rPr>
          <w:rFonts w:asciiTheme="minorHAnsi" w:hAnsiTheme="minorHAnsi" w:cstheme="minorHAnsi"/>
          <w:lang w:val="en-US"/>
        </w:rPr>
      </w:pPr>
    </w:p>
    <w:p w:rsidR="000E26EB" w:rsidRPr="00BE4257" w:rsidRDefault="005072AC"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This </w:t>
      </w:r>
      <w:r w:rsidR="000E26EB" w:rsidRPr="00BE4257">
        <w:rPr>
          <w:rFonts w:asciiTheme="minorHAnsi" w:hAnsiTheme="minorHAnsi" w:cstheme="minorHAnsi"/>
          <w:lang w:val="en-US"/>
        </w:rPr>
        <w:t xml:space="preserve">should be resolved before the PEL arrangement is confirmed by the linked provider as part of their due diligence. </w:t>
      </w:r>
    </w:p>
    <w:p w:rsidR="000E26EB" w:rsidRPr="00BE4257" w:rsidRDefault="000E26EB" w:rsidP="00BE4257">
      <w:pPr>
        <w:pStyle w:val="ListParagraph"/>
        <w:ind w:left="0"/>
        <w:jc w:val="both"/>
        <w:rPr>
          <w:rFonts w:asciiTheme="minorHAnsi" w:hAnsiTheme="minorHAnsi" w:cstheme="minorHAnsi"/>
          <w:lang w:val="en-US"/>
        </w:rPr>
      </w:pPr>
    </w:p>
    <w:p w:rsidR="0011034E" w:rsidRPr="00BE4257" w:rsidRDefault="0011034E" w:rsidP="00BE4257">
      <w:pPr>
        <w:widowControl w:val="0"/>
        <w:spacing w:after="0" w:line="240" w:lineRule="auto"/>
        <w:jc w:val="both"/>
        <w:rPr>
          <w:rFonts w:asciiTheme="minorHAnsi" w:hAnsiTheme="minorHAnsi" w:cstheme="minorHAnsi"/>
          <w:b/>
          <w:sz w:val="24"/>
          <w:szCs w:val="24"/>
          <w:lang w:val="en-US"/>
        </w:rPr>
      </w:pPr>
      <w:r w:rsidRPr="00BE4257">
        <w:rPr>
          <w:rFonts w:asciiTheme="minorHAnsi" w:hAnsiTheme="minorHAnsi" w:cstheme="minorHAnsi"/>
          <w:b/>
          <w:sz w:val="24"/>
          <w:szCs w:val="24"/>
          <w:lang w:val="en-US"/>
        </w:rPr>
        <w:t>Refund of Fees:</w:t>
      </w:r>
    </w:p>
    <w:p w:rsidR="0011034E" w:rsidRPr="00BE4257" w:rsidRDefault="0011034E" w:rsidP="00BE4257">
      <w:pPr>
        <w:widowControl w:val="0"/>
        <w:spacing w:after="0" w:line="240" w:lineRule="auto"/>
        <w:contextualSpacing/>
        <w:jc w:val="both"/>
        <w:rPr>
          <w:rFonts w:asciiTheme="minorHAnsi" w:hAnsiTheme="minorHAnsi" w:cstheme="minorHAnsi"/>
          <w:lang w:val="en-US"/>
        </w:rPr>
      </w:pPr>
      <w:r w:rsidRPr="00BE4257">
        <w:rPr>
          <w:rFonts w:asciiTheme="minorHAnsi" w:hAnsiTheme="minorHAnsi" w:cstheme="minorHAnsi"/>
          <w:lang w:val="en-US"/>
        </w:rPr>
        <w:t xml:space="preserve">When it is agreed that an agreement with alternative providers is not feasible or practicable and a refund of the year’s fees is intended to be issued to the student by means of a Learner Protection Insurance Policy (in the event that the provider is unable to fulfill their obligations in relation to programme delivery), the </w:t>
      </w:r>
      <w:r w:rsidRPr="00BE4257">
        <w:rPr>
          <w:rFonts w:asciiTheme="minorHAnsi" w:hAnsiTheme="minorHAnsi" w:cstheme="minorHAnsi"/>
          <w:b/>
          <w:lang w:val="en-US"/>
        </w:rPr>
        <w:t>Outline Proposal Form</w:t>
      </w:r>
      <w:r w:rsidRPr="00BE4257">
        <w:rPr>
          <w:rFonts w:asciiTheme="minorHAnsi" w:hAnsiTheme="minorHAnsi" w:cstheme="minorHAnsi"/>
          <w:lang w:val="en-US"/>
        </w:rPr>
        <w:t xml:space="preserve"> requires the provider to indicate what arrangements are proposed to ensure compliance with PEL</w:t>
      </w:r>
      <w:r w:rsidR="00BB3906" w:rsidRPr="00BE4257">
        <w:rPr>
          <w:rFonts w:asciiTheme="minorHAnsi" w:hAnsiTheme="minorHAnsi" w:cstheme="minorHAnsi"/>
          <w:lang w:val="en-US"/>
        </w:rPr>
        <w:t xml:space="preserve"> and requires that the provider submit:</w:t>
      </w:r>
    </w:p>
    <w:p w:rsidR="00BB3906" w:rsidRPr="00BE4257" w:rsidRDefault="00BB3906" w:rsidP="00BE4257">
      <w:pPr>
        <w:widowControl w:val="0"/>
        <w:spacing w:after="0" w:line="240" w:lineRule="auto"/>
        <w:contextualSpacing/>
        <w:jc w:val="both"/>
        <w:rPr>
          <w:rFonts w:asciiTheme="minorHAnsi" w:hAnsiTheme="minorHAnsi" w:cstheme="minorHAnsi"/>
          <w:lang w:val="en-US"/>
        </w:rPr>
      </w:pPr>
    </w:p>
    <w:p w:rsidR="00BB3906" w:rsidRPr="00BE4257" w:rsidRDefault="00BB3906" w:rsidP="00BE4257">
      <w:pPr>
        <w:widowControl w:val="0"/>
        <w:numPr>
          <w:ilvl w:val="0"/>
          <w:numId w:val="11"/>
        </w:numPr>
        <w:spacing w:after="0" w:line="240" w:lineRule="auto"/>
        <w:contextualSpacing/>
        <w:jc w:val="both"/>
        <w:rPr>
          <w:rFonts w:asciiTheme="minorHAnsi" w:hAnsiTheme="minorHAnsi" w:cstheme="minorHAnsi"/>
          <w:b/>
          <w:lang w:val="en-US"/>
        </w:rPr>
      </w:pPr>
      <w:r w:rsidRPr="00BE4257">
        <w:rPr>
          <w:rFonts w:asciiTheme="minorHAnsi" w:hAnsiTheme="minorHAnsi" w:cstheme="minorHAnsi"/>
          <w:b/>
          <w:lang w:val="en-US"/>
        </w:rPr>
        <w:t>A copy of letter of confirmation from the insurance company to the provider</w:t>
      </w:r>
      <w:r w:rsidRPr="00BE4257">
        <w:rPr>
          <w:rFonts w:asciiTheme="minorHAnsi" w:hAnsiTheme="minorHAnsi" w:cstheme="minorHAnsi"/>
          <w:lang w:val="en-US"/>
        </w:rPr>
        <w:t>, certifying that an appropriate policy for the target number of students, on the specified programme, is in place</w:t>
      </w:r>
    </w:p>
    <w:p w:rsidR="00BB3906" w:rsidRPr="00BE4257" w:rsidRDefault="00BB3906" w:rsidP="00BE4257">
      <w:pPr>
        <w:widowControl w:val="0"/>
        <w:numPr>
          <w:ilvl w:val="0"/>
          <w:numId w:val="11"/>
        </w:numPr>
        <w:spacing w:after="0" w:line="240" w:lineRule="auto"/>
        <w:contextualSpacing/>
        <w:jc w:val="both"/>
        <w:rPr>
          <w:rFonts w:asciiTheme="minorHAnsi" w:hAnsiTheme="minorHAnsi" w:cstheme="minorHAnsi"/>
          <w:b/>
          <w:lang w:val="en-US"/>
        </w:rPr>
      </w:pPr>
      <w:r w:rsidRPr="00BE4257">
        <w:rPr>
          <w:rFonts w:asciiTheme="minorHAnsi" w:hAnsiTheme="minorHAnsi" w:cstheme="minorHAnsi"/>
          <w:b/>
          <w:lang w:val="en-US"/>
        </w:rPr>
        <w:t>A copy of the Terms &amp; Conditions of the policy</w:t>
      </w:r>
      <w:r w:rsidRPr="00BE4257">
        <w:rPr>
          <w:rFonts w:asciiTheme="minorHAnsi" w:hAnsiTheme="minorHAnsi" w:cstheme="minorHAnsi"/>
          <w:lang w:val="en-US"/>
        </w:rPr>
        <w:t>.  These will</w:t>
      </w:r>
      <w:r w:rsidR="00500721" w:rsidRPr="00BE4257">
        <w:rPr>
          <w:rFonts w:asciiTheme="minorHAnsi" w:hAnsiTheme="minorHAnsi" w:cstheme="minorHAnsi"/>
          <w:lang w:val="en-US"/>
        </w:rPr>
        <w:t xml:space="preserve"> be verified by the </w:t>
      </w:r>
      <w:r w:rsidRPr="00BE4257">
        <w:rPr>
          <w:rFonts w:asciiTheme="minorHAnsi" w:hAnsiTheme="minorHAnsi" w:cstheme="minorHAnsi"/>
          <w:lang w:val="en-US"/>
        </w:rPr>
        <w:t xml:space="preserve">Secretary’s Office </w:t>
      </w:r>
      <w:r w:rsidR="00BE4257">
        <w:rPr>
          <w:rFonts w:asciiTheme="minorHAnsi" w:hAnsiTheme="minorHAnsi" w:cstheme="minorHAnsi"/>
          <w:lang w:val="en-US"/>
        </w:rPr>
        <w:t xml:space="preserve">(or equivalent) </w:t>
      </w:r>
      <w:r w:rsidRPr="00BE4257">
        <w:rPr>
          <w:rFonts w:asciiTheme="minorHAnsi" w:hAnsiTheme="minorHAnsi" w:cstheme="minorHAnsi"/>
          <w:lang w:val="en-US"/>
        </w:rPr>
        <w:t xml:space="preserve">via TU Dublin’s insurance broker and should specify a </w:t>
      </w:r>
      <w:r w:rsidRPr="00BE4257">
        <w:rPr>
          <w:rFonts w:asciiTheme="minorHAnsi" w:hAnsiTheme="minorHAnsi" w:cstheme="minorHAnsi"/>
          <w:u w:val="single"/>
          <w:lang w:val="en-US"/>
        </w:rPr>
        <w:t>refund of fees only</w:t>
      </w:r>
      <w:r w:rsidRPr="00BE4257">
        <w:rPr>
          <w:rFonts w:asciiTheme="minorHAnsi" w:hAnsiTheme="minorHAnsi" w:cstheme="minorHAnsi"/>
          <w:lang w:val="en-US"/>
        </w:rPr>
        <w:t xml:space="preserve"> – not that the student will be placed at a</w:t>
      </w:r>
      <w:r w:rsidR="00500721" w:rsidRPr="00BE4257">
        <w:rPr>
          <w:rFonts w:asciiTheme="minorHAnsi" w:hAnsiTheme="minorHAnsi" w:cstheme="minorHAnsi"/>
          <w:lang w:val="en-US"/>
        </w:rPr>
        <w:t>nother Coll</w:t>
      </w:r>
      <w:r w:rsidRPr="00BE4257">
        <w:rPr>
          <w:rFonts w:asciiTheme="minorHAnsi" w:hAnsiTheme="minorHAnsi" w:cstheme="minorHAnsi"/>
          <w:lang w:val="en-US"/>
        </w:rPr>
        <w:t>ege.  The insurance broker’s verification fee will be charged to the School presenting the proposal</w:t>
      </w:r>
    </w:p>
    <w:p w:rsidR="00BB3906" w:rsidRPr="00BE4257" w:rsidRDefault="00BB3906" w:rsidP="00BE4257">
      <w:pPr>
        <w:widowControl w:val="0"/>
        <w:spacing w:after="0" w:line="240" w:lineRule="auto"/>
        <w:contextualSpacing/>
        <w:jc w:val="both"/>
        <w:rPr>
          <w:rFonts w:asciiTheme="minorHAnsi" w:hAnsiTheme="minorHAnsi" w:cstheme="minorHAnsi"/>
          <w:lang w:val="en-US"/>
        </w:rPr>
      </w:pPr>
    </w:p>
    <w:p w:rsidR="00BB3906" w:rsidRPr="00BE4257" w:rsidRDefault="00BB3906" w:rsidP="00BE4257">
      <w:pPr>
        <w:widowControl w:val="0"/>
        <w:spacing w:after="0" w:line="240" w:lineRule="auto"/>
        <w:contextualSpacing/>
        <w:jc w:val="both"/>
        <w:rPr>
          <w:rFonts w:asciiTheme="minorHAnsi" w:hAnsiTheme="minorHAnsi" w:cstheme="minorHAnsi"/>
          <w:lang w:val="en-US"/>
        </w:rPr>
      </w:pPr>
    </w:p>
    <w:p w:rsidR="00BB3906" w:rsidRPr="00BE4257" w:rsidRDefault="00BB3906" w:rsidP="00BE4257">
      <w:pPr>
        <w:widowControl w:val="0"/>
        <w:spacing w:after="0" w:line="240" w:lineRule="auto"/>
        <w:contextualSpacing/>
        <w:jc w:val="both"/>
        <w:rPr>
          <w:rFonts w:asciiTheme="minorHAnsi" w:hAnsiTheme="minorHAnsi" w:cstheme="minorHAnsi"/>
          <w:lang w:val="en-US"/>
        </w:rPr>
      </w:pPr>
      <w:r w:rsidRPr="00BE4257">
        <w:rPr>
          <w:rFonts w:asciiTheme="minorHAnsi" w:hAnsiTheme="minorHAnsi" w:cstheme="minorHAnsi"/>
          <w:lang w:val="en-US"/>
        </w:rPr>
        <w:t>Once a new MoA or an addendum to an existing agreement is signed and in place, upon registration of students with the provider, the provider must demonstrate to the School Liaison managing the agreement that individual policy letters have been issued, by the insurer, to each named student</w:t>
      </w:r>
      <w:r w:rsidR="008F36C8" w:rsidRPr="00BE4257">
        <w:rPr>
          <w:rFonts w:asciiTheme="minorHAnsi" w:hAnsiTheme="minorHAnsi" w:cstheme="minorHAnsi"/>
          <w:lang w:val="en-US"/>
        </w:rPr>
        <w:t xml:space="preserve"> as soon as possible</w:t>
      </w:r>
      <w:r w:rsidRPr="00BE4257">
        <w:rPr>
          <w:rFonts w:asciiTheme="minorHAnsi" w:hAnsiTheme="minorHAnsi" w:cstheme="minorHAnsi"/>
          <w:lang w:val="en-US"/>
        </w:rPr>
        <w:t xml:space="preserve">. </w:t>
      </w:r>
    </w:p>
    <w:p w:rsidR="0011034E" w:rsidRPr="00BE4257" w:rsidRDefault="0011034E" w:rsidP="00BE4257">
      <w:pPr>
        <w:spacing w:after="0" w:line="240" w:lineRule="auto"/>
        <w:jc w:val="both"/>
        <w:rPr>
          <w:rFonts w:asciiTheme="minorHAnsi" w:hAnsiTheme="minorHAnsi" w:cstheme="minorHAnsi"/>
          <w:b/>
          <w:lang w:val="en-US"/>
        </w:rPr>
      </w:pPr>
    </w:p>
    <w:p w:rsidR="00BB3906" w:rsidRPr="00BE4257" w:rsidRDefault="00BB3906" w:rsidP="00BE4257">
      <w:pPr>
        <w:widowControl w:val="0"/>
        <w:spacing w:after="0" w:line="240" w:lineRule="auto"/>
        <w:contextualSpacing/>
        <w:jc w:val="both"/>
        <w:rPr>
          <w:rFonts w:asciiTheme="minorHAnsi" w:hAnsiTheme="minorHAnsi" w:cstheme="minorHAnsi"/>
          <w:lang w:val="en-US"/>
        </w:rPr>
      </w:pPr>
      <w:r w:rsidRPr="00BE4257">
        <w:rPr>
          <w:rFonts w:asciiTheme="minorHAnsi" w:hAnsiTheme="minorHAnsi" w:cstheme="minorHAnsi"/>
          <w:lang w:val="en-US"/>
        </w:rPr>
        <w:t>If such proof is not provided to TU Dublin, this may be in</w:t>
      </w:r>
      <w:r w:rsidR="005034EA" w:rsidRPr="00BE4257">
        <w:rPr>
          <w:rFonts w:asciiTheme="minorHAnsi" w:hAnsiTheme="minorHAnsi" w:cstheme="minorHAnsi"/>
          <w:lang w:val="en-US"/>
        </w:rPr>
        <w:t xml:space="preserve">dicative of a breach of the MoA and this matter should be raised immediately by the School Liaison to the relevant </w:t>
      </w:r>
      <w:r w:rsidR="00D661A0" w:rsidRPr="00BE4257">
        <w:rPr>
          <w:rFonts w:asciiTheme="minorHAnsi" w:hAnsiTheme="minorHAnsi" w:cstheme="minorHAnsi"/>
          <w:lang w:val="en-US"/>
        </w:rPr>
        <w:t>Faculty Mana</w:t>
      </w:r>
      <w:r w:rsidR="005034EA" w:rsidRPr="00BE4257">
        <w:rPr>
          <w:rFonts w:asciiTheme="minorHAnsi" w:hAnsiTheme="minorHAnsi" w:cstheme="minorHAnsi"/>
          <w:lang w:val="en-US"/>
        </w:rPr>
        <w:t xml:space="preserve">gement Team who in turn will raise the dispute procedures as specified in the MoA.  </w:t>
      </w:r>
    </w:p>
    <w:p w:rsidR="0011034E" w:rsidRPr="00BE4257" w:rsidRDefault="0011034E" w:rsidP="00BE4257">
      <w:pPr>
        <w:pStyle w:val="ListParagraph"/>
        <w:ind w:left="0"/>
        <w:jc w:val="both"/>
        <w:rPr>
          <w:rFonts w:asciiTheme="minorHAnsi" w:hAnsiTheme="minorHAnsi" w:cstheme="minorHAnsi"/>
          <w:b/>
          <w:lang w:val="en-US"/>
        </w:rPr>
      </w:pPr>
    </w:p>
    <w:p w:rsidR="008F36C8" w:rsidRPr="00BE4257" w:rsidRDefault="008F36C8"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In the event that an alternative arrangement </w:t>
      </w:r>
      <w:r w:rsidR="00191103">
        <w:rPr>
          <w:rFonts w:asciiTheme="minorHAnsi" w:hAnsiTheme="minorHAnsi" w:cstheme="minorHAnsi"/>
          <w:lang w:val="en-US"/>
        </w:rPr>
        <w:t xml:space="preserve">is </w:t>
      </w:r>
      <w:r w:rsidRPr="00BE4257">
        <w:rPr>
          <w:rFonts w:asciiTheme="minorHAnsi" w:hAnsiTheme="minorHAnsi" w:cstheme="minorHAnsi"/>
          <w:lang w:val="en-US"/>
        </w:rPr>
        <w:t xml:space="preserve">an insurance policy </w:t>
      </w:r>
      <w:r w:rsidR="00191103">
        <w:rPr>
          <w:rFonts w:asciiTheme="minorHAnsi" w:hAnsiTheme="minorHAnsi" w:cstheme="minorHAnsi"/>
          <w:lang w:val="en-US"/>
        </w:rPr>
        <w:t xml:space="preserve">to </w:t>
      </w:r>
      <w:r w:rsidRPr="00BE4257">
        <w:rPr>
          <w:rFonts w:asciiTheme="minorHAnsi" w:hAnsiTheme="minorHAnsi" w:cstheme="minorHAnsi"/>
          <w:lang w:val="en-US"/>
        </w:rPr>
        <w:t>be put in place to provide for the refund of fees, the details of these arrangements shou</w:t>
      </w:r>
      <w:r w:rsidR="00191103">
        <w:rPr>
          <w:rFonts w:asciiTheme="minorHAnsi" w:hAnsiTheme="minorHAnsi" w:cstheme="minorHAnsi"/>
          <w:lang w:val="en-US"/>
        </w:rPr>
        <w:t>ld likewise be submitted to the Compliance</w:t>
      </w:r>
      <w:r w:rsidRPr="00BE4257">
        <w:rPr>
          <w:rFonts w:asciiTheme="minorHAnsi" w:hAnsiTheme="minorHAnsi" w:cstheme="minorHAnsi"/>
          <w:lang w:val="en-US"/>
        </w:rPr>
        <w:t xml:space="preserve"> Office</w:t>
      </w:r>
      <w:r w:rsidR="00BE4257">
        <w:rPr>
          <w:rFonts w:asciiTheme="minorHAnsi" w:hAnsiTheme="minorHAnsi" w:cstheme="minorHAnsi"/>
          <w:lang w:val="en-US"/>
        </w:rPr>
        <w:t xml:space="preserve"> (or equivalent)</w:t>
      </w:r>
      <w:r w:rsidRPr="00BE4257">
        <w:rPr>
          <w:rFonts w:asciiTheme="minorHAnsi" w:hAnsiTheme="minorHAnsi" w:cstheme="minorHAnsi"/>
          <w:lang w:val="en-US"/>
        </w:rPr>
        <w:t xml:space="preserve"> for full scrutiny and approval.  </w:t>
      </w:r>
    </w:p>
    <w:p w:rsidR="008F36C8" w:rsidRPr="00BE4257" w:rsidRDefault="008F36C8" w:rsidP="00BE4257">
      <w:pPr>
        <w:pStyle w:val="ListParagraph"/>
        <w:ind w:left="0"/>
        <w:jc w:val="both"/>
        <w:rPr>
          <w:rFonts w:asciiTheme="minorHAnsi" w:hAnsiTheme="minorHAnsi" w:cstheme="minorHAnsi"/>
          <w:b/>
          <w:lang w:val="en-US"/>
        </w:rPr>
      </w:pPr>
    </w:p>
    <w:p w:rsidR="001B69CE" w:rsidRPr="00BE4257" w:rsidRDefault="001B69CE" w:rsidP="00BE4257">
      <w:pPr>
        <w:pStyle w:val="ListParagraph"/>
        <w:ind w:left="0"/>
        <w:jc w:val="both"/>
        <w:rPr>
          <w:rFonts w:asciiTheme="minorHAnsi" w:hAnsiTheme="minorHAnsi" w:cstheme="minorHAnsi"/>
          <w:b/>
          <w:sz w:val="24"/>
          <w:szCs w:val="24"/>
          <w:lang w:val="en-US"/>
        </w:rPr>
      </w:pPr>
      <w:r w:rsidRPr="00BE4257">
        <w:rPr>
          <w:rFonts w:asciiTheme="minorHAnsi" w:hAnsiTheme="minorHAnsi" w:cstheme="minorHAnsi"/>
          <w:b/>
          <w:sz w:val="24"/>
          <w:szCs w:val="24"/>
          <w:lang w:val="en-US"/>
        </w:rPr>
        <w:t>Exit Awards</w:t>
      </w:r>
    </w:p>
    <w:p w:rsidR="00F901E4" w:rsidRPr="00BE4257" w:rsidRDefault="001B69CE"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In the design of all linked, joint and collaborative programmes, consideration should be given to the inclusion of exit awa</w:t>
      </w:r>
      <w:r w:rsidR="001004E2" w:rsidRPr="00BE4257">
        <w:rPr>
          <w:rFonts w:asciiTheme="minorHAnsi" w:hAnsiTheme="minorHAnsi" w:cstheme="minorHAnsi"/>
          <w:lang w:val="en-US"/>
        </w:rPr>
        <w:t>rds for each stage of provision.</w:t>
      </w:r>
    </w:p>
    <w:p w:rsidR="001004E2" w:rsidRPr="00BE4257" w:rsidRDefault="001004E2" w:rsidP="00BE4257">
      <w:pPr>
        <w:pStyle w:val="ListParagraph"/>
        <w:ind w:left="0"/>
        <w:jc w:val="both"/>
        <w:rPr>
          <w:rFonts w:asciiTheme="minorHAnsi" w:hAnsiTheme="minorHAnsi" w:cstheme="minorHAnsi"/>
          <w:lang w:val="en-US"/>
        </w:rPr>
      </w:pPr>
    </w:p>
    <w:p w:rsidR="001B69CE" w:rsidRPr="00BE4257" w:rsidRDefault="00F901E4" w:rsidP="00BE4257">
      <w:pPr>
        <w:pStyle w:val="ListParagraph"/>
        <w:ind w:left="0"/>
        <w:jc w:val="both"/>
        <w:rPr>
          <w:rFonts w:asciiTheme="minorHAnsi" w:hAnsiTheme="minorHAnsi" w:cstheme="minorHAnsi"/>
          <w:b/>
          <w:sz w:val="24"/>
          <w:szCs w:val="24"/>
          <w:lang w:val="en-US"/>
        </w:rPr>
      </w:pPr>
      <w:r w:rsidRPr="00BE4257">
        <w:rPr>
          <w:rFonts w:asciiTheme="minorHAnsi" w:hAnsiTheme="minorHAnsi" w:cstheme="minorHAnsi"/>
          <w:b/>
          <w:sz w:val="24"/>
          <w:szCs w:val="24"/>
          <w:lang w:val="en-US"/>
        </w:rPr>
        <w:t>Programme Regulations</w:t>
      </w:r>
    </w:p>
    <w:p w:rsidR="00554D42" w:rsidRPr="00BE4257" w:rsidRDefault="00554D42"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In the design of all linked, joint and collaborative programmes, consideration should be given to repeat </w:t>
      </w:r>
      <w:r w:rsidR="006A78B3" w:rsidRPr="00BE4257">
        <w:rPr>
          <w:rFonts w:asciiTheme="minorHAnsi" w:hAnsiTheme="minorHAnsi" w:cstheme="minorHAnsi"/>
          <w:lang w:val="en-US"/>
        </w:rPr>
        <w:t>attempt arrangements and specifying</w:t>
      </w:r>
      <w:r w:rsidRPr="00BE4257">
        <w:rPr>
          <w:rFonts w:asciiTheme="minorHAnsi" w:hAnsiTheme="minorHAnsi" w:cstheme="minorHAnsi"/>
          <w:lang w:val="en-US"/>
        </w:rPr>
        <w:t xml:space="preserve"> </w:t>
      </w:r>
      <w:r w:rsidR="006A78B3" w:rsidRPr="00BE4257">
        <w:rPr>
          <w:rFonts w:asciiTheme="minorHAnsi" w:hAnsiTheme="minorHAnsi" w:cstheme="minorHAnsi"/>
          <w:lang w:val="en-US"/>
        </w:rPr>
        <w:t>a</w:t>
      </w:r>
      <w:r w:rsidRPr="00BE4257">
        <w:rPr>
          <w:rFonts w:asciiTheme="minorHAnsi" w:hAnsiTheme="minorHAnsi" w:cstheme="minorHAnsi"/>
          <w:lang w:val="en-US"/>
        </w:rPr>
        <w:t xml:space="preserve"> maximum number of attempts at each assessment and a maximum timeframe for the overall completion of the </w:t>
      </w:r>
      <w:r w:rsidR="00DF2FC8" w:rsidRPr="00BE4257">
        <w:rPr>
          <w:rFonts w:asciiTheme="minorHAnsi" w:hAnsiTheme="minorHAnsi" w:cstheme="minorHAnsi"/>
          <w:lang w:val="en-US"/>
        </w:rPr>
        <w:t xml:space="preserve">programme.  </w:t>
      </w:r>
    </w:p>
    <w:p w:rsidR="00F901E4" w:rsidRPr="00BE4257" w:rsidRDefault="00F901E4" w:rsidP="00BE4257">
      <w:pPr>
        <w:pStyle w:val="ListParagraph"/>
        <w:ind w:left="0"/>
        <w:jc w:val="both"/>
        <w:rPr>
          <w:rFonts w:asciiTheme="minorHAnsi" w:hAnsiTheme="minorHAnsi" w:cstheme="minorHAnsi"/>
          <w:lang w:val="en-US"/>
        </w:rPr>
      </w:pPr>
    </w:p>
    <w:p w:rsidR="00BB3906" w:rsidRPr="00BE4257" w:rsidRDefault="00BB3906" w:rsidP="00BE4257">
      <w:pPr>
        <w:pStyle w:val="ListParagraph"/>
        <w:ind w:left="0"/>
        <w:jc w:val="both"/>
        <w:rPr>
          <w:rFonts w:asciiTheme="minorHAnsi" w:hAnsiTheme="minorHAnsi" w:cstheme="minorHAnsi"/>
          <w:b/>
          <w:lang w:val="en-US"/>
        </w:rPr>
      </w:pPr>
    </w:p>
    <w:p w:rsidR="00BB3906" w:rsidRPr="00BE4257" w:rsidRDefault="00BB3906" w:rsidP="00BE4257">
      <w:pPr>
        <w:pStyle w:val="ListParagraph"/>
        <w:ind w:left="0"/>
        <w:jc w:val="both"/>
        <w:rPr>
          <w:rFonts w:asciiTheme="minorHAnsi" w:hAnsiTheme="minorHAnsi" w:cstheme="minorHAnsi"/>
          <w:b/>
          <w:sz w:val="26"/>
          <w:szCs w:val="26"/>
          <w:lang w:val="en-US"/>
        </w:rPr>
      </w:pPr>
      <w:r w:rsidRPr="00BE4257">
        <w:rPr>
          <w:rFonts w:asciiTheme="minorHAnsi" w:hAnsiTheme="minorHAnsi" w:cstheme="minorHAnsi"/>
          <w:b/>
          <w:sz w:val="26"/>
          <w:szCs w:val="26"/>
          <w:lang w:val="en-US"/>
        </w:rPr>
        <w:t xml:space="preserve">Process for Approval of </w:t>
      </w:r>
      <w:r w:rsidR="00E97DA8" w:rsidRPr="00BE4257">
        <w:rPr>
          <w:rFonts w:asciiTheme="minorHAnsi" w:hAnsiTheme="minorHAnsi" w:cstheme="minorHAnsi"/>
          <w:b/>
          <w:sz w:val="26"/>
          <w:szCs w:val="26"/>
          <w:lang w:val="en-US"/>
        </w:rPr>
        <w:t>PEL</w:t>
      </w:r>
      <w:r w:rsidRPr="00BE4257">
        <w:rPr>
          <w:rFonts w:asciiTheme="minorHAnsi" w:hAnsiTheme="minorHAnsi" w:cstheme="minorHAnsi"/>
          <w:b/>
          <w:sz w:val="26"/>
          <w:szCs w:val="26"/>
          <w:lang w:val="en-US"/>
        </w:rPr>
        <w:t xml:space="preserve"> Arrangements</w:t>
      </w:r>
    </w:p>
    <w:p w:rsidR="005034EA" w:rsidRPr="00BE4257" w:rsidRDefault="005034EA" w:rsidP="00BE4257">
      <w:pPr>
        <w:widowControl w:val="0"/>
        <w:contextualSpacing/>
        <w:jc w:val="both"/>
        <w:rPr>
          <w:rFonts w:asciiTheme="minorHAnsi" w:hAnsiTheme="minorHAnsi" w:cstheme="minorHAnsi"/>
          <w:lang w:val="en-US"/>
        </w:rPr>
      </w:pPr>
      <w:r w:rsidRPr="00BE4257">
        <w:rPr>
          <w:rFonts w:asciiTheme="minorHAnsi" w:hAnsiTheme="minorHAnsi" w:cstheme="minorHAnsi"/>
          <w:lang w:val="en-US"/>
        </w:rPr>
        <w:t>When approving or reviewing a Collaborative or Linked Pro</w:t>
      </w:r>
      <w:r w:rsidR="00E97DA8" w:rsidRPr="00BE4257">
        <w:rPr>
          <w:rFonts w:asciiTheme="minorHAnsi" w:hAnsiTheme="minorHAnsi" w:cstheme="minorHAnsi"/>
          <w:lang w:val="en-US"/>
        </w:rPr>
        <w:t>vider, the due diligence report requires that consideration is given to PEL.</w:t>
      </w:r>
    </w:p>
    <w:p w:rsidR="005034EA" w:rsidRPr="00BE4257" w:rsidRDefault="005034EA" w:rsidP="00BE4257">
      <w:pPr>
        <w:widowControl w:val="0"/>
        <w:spacing w:after="0" w:line="240" w:lineRule="auto"/>
        <w:contextualSpacing/>
        <w:jc w:val="both"/>
        <w:rPr>
          <w:rFonts w:asciiTheme="minorHAnsi" w:hAnsiTheme="minorHAnsi" w:cstheme="minorHAnsi"/>
          <w:lang w:val="en-US"/>
        </w:rPr>
      </w:pPr>
    </w:p>
    <w:p w:rsidR="00BB3906" w:rsidRPr="00BE4257" w:rsidRDefault="00BB3906" w:rsidP="00BE4257">
      <w:pPr>
        <w:widowControl w:val="0"/>
        <w:spacing w:after="0" w:line="240" w:lineRule="auto"/>
        <w:contextualSpacing/>
        <w:jc w:val="both"/>
        <w:rPr>
          <w:rFonts w:asciiTheme="minorHAnsi" w:hAnsiTheme="minorHAnsi" w:cstheme="minorHAnsi"/>
          <w:lang w:val="en-US"/>
        </w:rPr>
      </w:pPr>
      <w:r w:rsidRPr="00BE4257">
        <w:rPr>
          <w:rFonts w:asciiTheme="minorHAnsi" w:hAnsiTheme="minorHAnsi" w:cstheme="minorHAnsi"/>
          <w:lang w:val="en-US"/>
        </w:rPr>
        <w:t xml:space="preserve">The Programme Outline Proposal Form </w:t>
      </w:r>
      <w:r w:rsidR="00E97DA8" w:rsidRPr="00BE4257">
        <w:rPr>
          <w:rFonts w:asciiTheme="minorHAnsi" w:hAnsiTheme="minorHAnsi" w:cstheme="minorHAnsi"/>
          <w:lang w:val="en-US"/>
        </w:rPr>
        <w:t xml:space="preserve">also </w:t>
      </w:r>
      <w:r w:rsidRPr="00BE4257">
        <w:rPr>
          <w:rFonts w:asciiTheme="minorHAnsi" w:hAnsiTheme="minorHAnsi" w:cstheme="minorHAnsi"/>
          <w:lang w:val="en-US"/>
        </w:rPr>
        <w:t xml:space="preserve">requires confirmation of proposed PEL arrangements, including any projected cost to TU </w:t>
      </w:r>
      <w:r w:rsidR="00BE4257" w:rsidRPr="00BE4257">
        <w:rPr>
          <w:rFonts w:asciiTheme="minorHAnsi" w:hAnsiTheme="minorHAnsi" w:cstheme="minorHAnsi"/>
          <w:lang w:val="en-US"/>
        </w:rPr>
        <w:t>Dublin if</w:t>
      </w:r>
      <w:r w:rsidRPr="00BE4257">
        <w:rPr>
          <w:rFonts w:asciiTheme="minorHAnsi" w:hAnsiTheme="minorHAnsi" w:cstheme="minorHAnsi"/>
          <w:lang w:val="en-US"/>
        </w:rPr>
        <w:t xml:space="preserve"> arrangements are invoked. </w:t>
      </w:r>
    </w:p>
    <w:p w:rsidR="00BB3906" w:rsidRPr="00BE4257" w:rsidRDefault="00BB3906" w:rsidP="00BE4257">
      <w:pPr>
        <w:widowControl w:val="0"/>
        <w:spacing w:after="0" w:line="240" w:lineRule="auto"/>
        <w:ind w:left="720"/>
        <w:contextualSpacing/>
        <w:jc w:val="both"/>
        <w:rPr>
          <w:rFonts w:asciiTheme="minorHAnsi" w:hAnsiTheme="minorHAnsi" w:cstheme="minorHAnsi"/>
          <w:lang w:val="en-US"/>
        </w:rPr>
      </w:pPr>
      <w:r w:rsidRPr="00BE4257">
        <w:rPr>
          <w:rFonts w:asciiTheme="minorHAnsi" w:hAnsiTheme="minorHAnsi" w:cstheme="minorHAnsi"/>
          <w:lang w:val="en-US"/>
        </w:rPr>
        <w:t xml:space="preserve">  </w:t>
      </w:r>
    </w:p>
    <w:p w:rsidR="00BB3906" w:rsidRPr="00BE4257" w:rsidRDefault="00BB3906" w:rsidP="00BE4257">
      <w:pPr>
        <w:widowControl w:val="0"/>
        <w:spacing w:after="0" w:line="240" w:lineRule="auto"/>
        <w:contextualSpacing/>
        <w:jc w:val="both"/>
        <w:rPr>
          <w:rFonts w:asciiTheme="minorHAnsi" w:hAnsiTheme="minorHAnsi" w:cstheme="minorHAnsi"/>
          <w:b/>
          <w:lang w:val="en-US"/>
        </w:rPr>
      </w:pPr>
      <w:r w:rsidRPr="00BE4257">
        <w:rPr>
          <w:rFonts w:asciiTheme="minorHAnsi" w:hAnsiTheme="minorHAnsi" w:cstheme="minorHAnsi"/>
          <w:lang w:val="en-US"/>
        </w:rPr>
        <w:t xml:space="preserve">When submitted the draft </w:t>
      </w:r>
      <w:r w:rsidRPr="00BE4257">
        <w:rPr>
          <w:rFonts w:asciiTheme="minorHAnsi" w:hAnsiTheme="minorHAnsi" w:cstheme="minorHAnsi"/>
          <w:b/>
          <w:lang w:val="en-US"/>
        </w:rPr>
        <w:t xml:space="preserve">Memorandum of Agreement (MoA) or addendum (in the case where an existing agreement is in place) should </w:t>
      </w:r>
      <w:r w:rsidRPr="00BE4257">
        <w:rPr>
          <w:rFonts w:asciiTheme="minorHAnsi" w:hAnsiTheme="minorHAnsi" w:cstheme="minorHAnsi"/>
          <w:lang w:val="en-US"/>
        </w:rPr>
        <w:t xml:space="preserve">include clauses on PEL, confirming compliance and confirming that the full details of this approved </w:t>
      </w:r>
      <w:r w:rsidR="00E97DA8" w:rsidRPr="00BE4257">
        <w:rPr>
          <w:rFonts w:asciiTheme="minorHAnsi" w:hAnsiTheme="minorHAnsi" w:cstheme="minorHAnsi"/>
          <w:lang w:val="en-US"/>
        </w:rPr>
        <w:t>PEL</w:t>
      </w:r>
      <w:r w:rsidRPr="00BE4257">
        <w:rPr>
          <w:rFonts w:asciiTheme="minorHAnsi" w:hAnsiTheme="minorHAnsi" w:cstheme="minorHAnsi"/>
          <w:lang w:val="en-US"/>
        </w:rPr>
        <w:t xml:space="preserve"> policy are set out in the </w:t>
      </w:r>
      <w:r w:rsidRPr="00BE4257">
        <w:rPr>
          <w:rFonts w:asciiTheme="minorHAnsi" w:hAnsiTheme="minorHAnsi" w:cstheme="minorHAnsi"/>
          <w:b/>
          <w:lang w:val="en-US"/>
        </w:rPr>
        <w:t>Programme Documentation</w:t>
      </w:r>
      <w:r w:rsidRPr="00BE4257">
        <w:rPr>
          <w:rFonts w:asciiTheme="minorHAnsi" w:hAnsiTheme="minorHAnsi" w:cstheme="minorHAnsi"/>
          <w:lang w:val="en-US"/>
        </w:rPr>
        <w:t xml:space="preserve">.  </w:t>
      </w:r>
      <w:r w:rsidR="005034EA" w:rsidRPr="00BE4257">
        <w:rPr>
          <w:rFonts w:asciiTheme="minorHAnsi" w:hAnsiTheme="minorHAnsi" w:cstheme="minorHAnsi"/>
          <w:lang w:val="en-US"/>
        </w:rPr>
        <w:t xml:space="preserve">The Provider will also provide TU Dublin with details on how the Information to TU Dublin and the Information to Learners, as specified below will be made available.  </w:t>
      </w:r>
    </w:p>
    <w:p w:rsidR="00BB3906" w:rsidRPr="00BE4257" w:rsidRDefault="00BB3906" w:rsidP="00BE4257">
      <w:pPr>
        <w:widowControl w:val="0"/>
        <w:spacing w:after="0" w:line="240" w:lineRule="auto"/>
        <w:jc w:val="both"/>
        <w:rPr>
          <w:rFonts w:asciiTheme="minorHAnsi" w:hAnsiTheme="minorHAnsi" w:cstheme="minorHAnsi"/>
          <w:lang w:val="en-US"/>
        </w:rPr>
      </w:pPr>
    </w:p>
    <w:p w:rsidR="00BB3906" w:rsidRPr="00BE4257" w:rsidRDefault="00BB3906" w:rsidP="00BE4257">
      <w:pPr>
        <w:pStyle w:val="ListParagraph"/>
        <w:ind w:left="0"/>
        <w:jc w:val="both"/>
        <w:rPr>
          <w:rFonts w:asciiTheme="minorHAnsi" w:hAnsiTheme="minorHAnsi" w:cstheme="minorHAnsi"/>
          <w:b/>
          <w:lang w:val="en-US"/>
        </w:rPr>
      </w:pPr>
    </w:p>
    <w:p w:rsidR="001B69CE" w:rsidRPr="00BE4257" w:rsidRDefault="005034EA" w:rsidP="00BE4257">
      <w:pPr>
        <w:pStyle w:val="ListParagraph"/>
        <w:ind w:left="0"/>
        <w:jc w:val="both"/>
        <w:rPr>
          <w:rFonts w:asciiTheme="minorHAnsi" w:hAnsiTheme="minorHAnsi" w:cstheme="minorHAnsi"/>
          <w:b/>
          <w:lang w:val="en-US"/>
        </w:rPr>
      </w:pPr>
      <w:r w:rsidRPr="00BE4257">
        <w:rPr>
          <w:rFonts w:asciiTheme="minorHAnsi" w:hAnsiTheme="minorHAnsi" w:cstheme="minorHAnsi"/>
          <w:b/>
          <w:lang w:val="en-US"/>
        </w:rPr>
        <w:t>Information to TU Dublin</w:t>
      </w:r>
    </w:p>
    <w:p w:rsidR="001B69CE" w:rsidRPr="00BE4257" w:rsidRDefault="001B69CE"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In addition to the student handbook, programme documentation and annual monitoring repo</w:t>
      </w:r>
      <w:r w:rsidR="005034EA" w:rsidRPr="00BE4257">
        <w:rPr>
          <w:rFonts w:asciiTheme="minorHAnsi" w:hAnsiTheme="minorHAnsi" w:cstheme="minorHAnsi"/>
          <w:lang w:val="en-US"/>
        </w:rPr>
        <w:t xml:space="preserve">rts specified in </w:t>
      </w:r>
      <w:r w:rsidR="005034EA" w:rsidRPr="00BE4257">
        <w:rPr>
          <w:rFonts w:asciiTheme="minorHAnsi" w:hAnsiTheme="minorHAnsi" w:cstheme="minorHAnsi"/>
          <w:highlight w:val="lightGray"/>
          <w:lang w:val="en-US"/>
        </w:rPr>
        <w:t>TU Dublin’s</w:t>
      </w:r>
      <w:r w:rsidRPr="00BE4257">
        <w:rPr>
          <w:rFonts w:asciiTheme="minorHAnsi" w:hAnsiTheme="minorHAnsi" w:cstheme="minorHAnsi"/>
          <w:highlight w:val="lightGray"/>
          <w:lang w:val="en-US"/>
        </w:rPr>
        <w:t xml:space="preserve"> Quality </w:t>
      </w:r>
      <w:r w:rsidR="00336C49" w:rsidRPr="00BE4257">
        <w:rPr>
          <w:rFonts w:asciiTheme="minorHAnsi" w:hAnsiTheme="minorHAnsi" w:cstheme="minorHAnsi"/>
          <w:highlight w:val="lightGray"/>
          <w:lang w:val="en-US"/>
        </w:rPr>
        <w:t>Framework</w:t>
      </w:r>
      <w:r w:rsidRPr="00BE4257">
        <w:rPr>
          <w:rFonts w:asciiTheme="minorHAnsi" w:hAnsiTheme="minorHAnsi" w:cstheme="minorHAnsi"/>
          <w:lang w:val="en-US"/>
        </w:rPr>
        <w:t xml:space="preserve"> for the validation of new programmes, each linked and collaborative provider must provide regular updates to </w:t>
      </w:r>
      <w:r w:rsidR="00500721" w:rsidRPr="00BE4257">
        <w:rPr>
          <w:rFonts w:asciiTheme="minorHAnsi" w:hAnsiTheme="minorHAnsi" w:cstheme="minorHAnsi"/>
          <w:lang w:val="en-US"/>
        </w:rPr>
        <w:t>TU Dublin</w:t>
      </w:r>
      <w:r w:rsidRPr="00BE4257">
        <w:rPr>
          <w:rFonts w:asciiTheme="minorHAnsi" w:hAnsiTheme="minorHAnsi" w:cstheme="minorHAnsi"/>
          <w:lang w:val="en-US"/>
        </w:rPr>
        <w:t xml:space="preserve"> on:</w:t>
      </w:r>
    </w:p>
    <w:p w:rsidR="001B69CE" w:rsidRPr="00BE4257" w:rsidRDefault="001B69CE" w:rsidP="00BE4257">
      <w:pPr>
        <w:pStyle w:val="ListParagraph"/>
        <w:numPr>
          <w:ilvl w:val="0"/>
          <w:numId w:val="6"/>
        </w:numPr>
        <w:jc w:val="both"/>
        <w:rPr>
          <w:rFonts w:asciiTheme="minorHAnsi" w:hAnsiTheme="minorHAnsi" w:cstheme="minorHAnsi"/>
          <w:lang w:val="en-US"/>
        </w:rPr>
      </w:pPr>
      <w:r w:rsidRPr="00BE4257">
        <w:rPr>
          <w:rFonts w:asciiTheme="minorHAnsi" w:hAnsiTheme="minorHAnsi" w:cstheme="minorHAnsi"/>
          <w:lang w:val="en-US"/>
        </w:rPr>
        <w:t>Fees paid by students</w:t>
      </w:r>
    </w:p>
    <w:p w:rsidR="001B69CE" w:rsidRPr="00BE4257" w:rsidRDefault="005072AC" w:rsidP="00BE4257">
      <w:pPr>
        <w:pStyle w:val="ListParagraph"/>
        <w:numPr>
          <w:ilvl w:val="0"/>
          <w:numId w:val="6"/>
        </w:numPr>
        <w:jc w:val="both"/>
        <w:rPr>
          <w:rFonts w:asciiTheme="minorHAnsi" w:hAnsiTheme="minorHAnsi" w:cstheme="minorHAnsi"/>
          <w:lang w:val="en-US"/>
        </w:rPr>
      </w:pPr>
      <w:r w:rsidRPr="00BE4257">
        <w:rPr>
          <w:rFonts w:asciiTheme="minorHAnsi" w:hAnsiTheme="minorHAnsi" w:cstheme="minorHAnsi"/>
          <w:lang w:val="en-US"/>
        </w:rPr>
        <w:t>Students</w:t>
      </w:r>
      <w:r w:rsidR="00F36A87" w:rsidRPr="00BE4257">
        <w:rPr>
          <w:rFonts w:asciiTheme="minorHAnsi" w:hAnsiTheme="minorHAnsi" w:cstheme="minorHAnsi"/>
          <w:lang w:val="en-US"/>
        </w:rPr>
        <w:t>’</w:t>
      </w:r>
      <w:r w:rsidRPr="00BE4257">
        <w:rPr>
          <w:rFonts w:asciiTheme="minorHAnsi" w:hAnsiTheme="minorHAnsi" w:cstheme="minorHAnsi"/>
          <w:lang w:val="en-US"/>
        </w:rPr>
        <w:t xml:space="preserve"> registration status</w:t>
      </w:r>
    </w:p>
    <w:p w:rsidR="001B69CE" w:rsidRPr="00BE4257" w:rsidRDefault="005072AC" w:rsidP="00BE4257">
      <w:pPr>
        <w:pStyle w:val="ListParagraph"/>
        <w:numPr>
          <w:ilvl w:val="0"/>
          <w:numId w:val="6"/>
        </w:numPr>
        <w:jc w:val="both"/>
        <w:rPr>
          <w:rFonts w:asciiTheme="minorHAnsi" w:hAnsiTheme="minorHAnsi" w:cstheme="minorHAnsi"/>
          <w:lang w:val="en-US"/>
        </w:rPr>
      </w:pPr>
      <w:r w:rsidRPr="00BE4257">
        <w:rPr>
          <w:rFonts w:asciiTheme="minorHAnsi" w:hAnsiTheme="minorHAnsi" w:cstheme="minorHAnsi"/>
          <w:lang w:val="en-US"/>
        </w:rPr>
        <w:t>A</w:t>
      </w:r>
      <w:r w:rsidR="001B69CE" w:rsidRPr="00BE4257">
        <w:rPr>
          <w:rFonts w:asciiTheme="minorHAnsi" w:hAnsiTheme="minorHAnsi" w:cstheme="minorHAnsi"/>
          <w:lang w:val="en-US"/>
        </w:rPr>
        <w:t>ny assessments undertaken and results</w:t>
      </w:r>
    </w:p>
    <w:p w:rsidR="005072AC" w:rsidRPr="00BE4257" w:rsidRDefault="005072AC" w:rsidP="00BE4257">
      <w:pPr>
        <w:pStyle w:val="ListParagraph"/>
        <w:numPr>
          <w:ilvl w:val="0"/>
          <w:numId w:val="6"/>
        </w:numPr>
        <w:jc w:val="both"/>
        <w:rPr>
          <w:rFonts w:asciiTheme="minorHAnsi" w:hAnsiTheme="minorHAnsi" w:cstheme="minorHAnsi"/>
          <w:lang w:val="en-US"/>
        </w:rPr>
      </w:pPr>
      <w:r w:rsidRPr="00BE4257">
        <w:rPr>
          <w:rFonts w:asciiTheme="minorHAnsi" w:hAnsiTheme="minorHAnsi" w:cstheme="minorHAnsi"/>
          <w:lang w:val="en-US"/>
        </w:rPr>
        <w:t>Any changes to circumstances that may affect programme delivery</w:t>
      </w:r>
    </w:p>
    <w:p w:rsidR="001B69CE" w:rsidRPr="00BE4257" w:rsidRDefault="001B69CE" w:rsidP="00BE4257">
      <w:pPr>
        <w:pStyle w:val="ListParagraph"/>
        <w:ind w:left="0"/>
        <w:jc w:val="both"/>
        <w:rPr>
          <w:rFonts w:asciiTheme="minorHAnsi" w:hAnsiTheme="minorHAnsi" w:cstheme="minorHAnsi"/>
          <w:lang w:val="en-US"/>
        </w:rPr>
      </w:pPr>
    </w:p>
    <w:p w:rsidR="00893EDE" w:rsidRPr="00BE4257" w:rsidRDefault="00ED485D" w:rsidP="00BE4257">
      <w:pPr>
        <w:pStyle w:val="ListParagraph"/>
        <w:ind w:left="0"/>
        <w:jc w:val="both"/>
        <w:rPr>
          <w:rFonts w:asciiTheme="minorHAnsi" w:hAnsiTheme="minorHAnsi" w:cstheme="minorHAnsi"/>
          <w:b/>
          <w:lang w:val="en-US"/>
        </w:rPr>
      </w:pPr>
      <w:r w:rsidRPr="00BE4257">
        <w:rPr>
          <w:rFonts w:asciiTheme="minorHAnsi" w:hAnsiTheme="minorHAnsi" w:cstheme="minorHAnsi"/>
          <w:b/>
          <w:lang w:val="en-US"/>
        </w:rPr>
        <w:t>Information to Learners</w:t>
      </w:r>
    </w:p>
    <w:p w:rsidR="00A910EF" w:rsidRPr="00BE4257" w:rsidRDefault="00A910EF"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The 2012 QQI Act requires that all providers make the be</w:t>
      </w:r>
      <w:r w:rsidR="00F36A87" w:rsidRPr="00BE4257">
        <w:rPr>
          <w:rFonts w:asciiTheme="minorHAnsi" w:hAnsiTheme="minorHAnsi" w:cstheme="minorHAnsi"/>
          <w:lang w:val="en-US"/>
        </w:rPr>
        <w:t>low programme and award-related</w:t>
      </w:r>
      <w:r w:rsidRPr="00BE4257">
        <w:rPr>
          <w:rFonts w:asciiTheme="minorHAnsi" w:hAnsiTheme="minorHAnsi" w:cstheme="minorHAnsi"/>
          <w:lang w:val="en-US"/>
        </w:rPr>
        <w:t xml:space="preserve"> information available to learners prior to enrolling them or accepting payment for a programme.  This information should be made publically available and accessible on the provider</w:t>
      </w:r>
      <w:r w:rsidR="00F36A87" w:rsidRPr="00BE4257">
        <w:rPr>
          <w:rFonts w:asciiTheme="minorHAnsi" w:hAnsiTheme="minorHAnsi" w:cstheme="minorHAnsi"/>
          <w:lang w:val="en-US"/>
        </w:rPr>
        <w:t>’</w:t>
      </w:r>
      <w:r w:rsidRPr="00BE4257">
        <w:rPr>
          <w:rFonts w:asciiTheme="minorHAnsi" w:hAnsiTheme="minorHAnsi" w:cstheme="minorHAnsi"/>
          <w:lang w:val="en-US"/>
        </w:rPr>
        <w:t>s website</w:t>
      </w:r>
      <w:r w:rsidR="00BE4257">
        <w:rPr>
          <w:rFonts w:asciiTheme="minorHAnsi" w:hAnsiTheme="minorHAnsi" w:cstheme="minorHAnsi"/>
          <w:lang w:val="en-US"/>
        </w:rPr>
        <w:t>:</w:t>
      </w:r>
    </w:p>
    <w:p w:rsidR="00A910EF" w:rsidRPr="00BE4257" w:rsidRDefault="00A910EF" w:rsidP="00BE4257">
      <w:pPr>
        <w:pStyle w:val="ListParagraph"/>
        <w:ind w:left="0"/>
        <w:jc w:val="both"/>
        <w:rPr>
          <w:rFonts w:asciiTheme="minorHAnsi" w:hAnsiTheme="minorHAnsi" w:cstheme="minorHAnsi"/>
          <w:lang w:val="en-US"/>
        </w:rPr>
      </w:pPr>
    </w:p>
    <w:p w:rsidR="00A910EF" w:rsidRPr="00BE4257" w:rsidRDefault="00A910EF" w:rsidP="00BE4257">
      <w:pPr>
        <w:pStyle w:val="ListParagraph"/>
        <w:numPr>
          <w:ilvl w:val="0"/>
          <w:numId w:val="4"/>
        </w:numPr>
        <w:jc w:val="both"/>
        <w:rPr>
          <w:rFonts w:asciiTheme="minorHAnsi" w:hAnsiTheme="minorHAnsi" w:cstheme="minorHAnsi"/>
          <w:lang w:val="en-US"/>
        </w:rPr>
      </w:pPr>
      <w:r w:rsidRPr="00BE4257">
        <w:rPr>
          <w:rFonts w:asciiTheme="minorHAnsi" w:hAnsiTheme="minorHAnsi" w:cstheme="minorHAnsi"/>
          <w:lang w:val="en-US"/>
        </w:rPr>
        <w:t>The name of the awarding body (or bodies) making the award</w:t>
      </w:r>
    </w:p>
    <w:p w:rsidR="00A910EF" w:rsidRPr="00BE4257" w:rsidRDefault="00A910EF" w:rsidP="00BE4257">
      <w:pPr>
        <w:pStyle w:val="ListParagraph"/>
        <w:numPr>
          <w:ilvl w:val="0"/>
          <w:numId w:val="4"/>
        </w:numPr>
        <w:jc w:val="both"/>
        <w:rPr>
          <w:rFonts w:asciiTheme="minorHAnsi" w:hAnsiTheme="minorHAnsi" w:cstheme="minorHAnsi"/>
          <w:lang w:val="en-US"/>
        </w:rPr>
      </w:pPr>
      <w:r w:rsidRPr="00BE4257">
        <w:rPr>
          <w:rFonts w:asciiTheme="minorHAnsi" w:hAnsiTheme="minorHAnsi" w:cstheme="minorHAnsi"/>
          <w:lang w:val="en-US"/>
        </w:rPr>
        <w:t>The title of the programme and the award to which it leads</w:t>
      </w:r>
    </w:p>
    <w:p w:rsidR="00A910EF" w:rsidRPr="00BE4257" w:rsidRDefault="00A910EF" w:rsidP="00BE4257">
      <w:pPr>
        <w:pStyle w:val="ListParagraph"/>
        <w:numPr>
          <w:ilvl w:val="0"/>
          <w:numId w:val="4"/>
        </w:numPr>
        <w:jc w:val="both"/>
        <w:rPr>
          <w:rFonts w:asciiTheme="minorHAnsi" w:hAnsiTheme="minorHAnsi" w:cstheme="minorHAnsi"/>
          <w:lang w:val="en-US"/>
        </w:rPr>
      </w:pPr>
      <w:r w:rsidRPr="00BE4257">
        <w:rPr>
          <w:rFonts w:asciiTheme="minorHAnsi" w:hAnsiTheme="minorHAnsi" w:cstheme="minorHAnsi"/>
          <w:lang w:val="en-US"/>
        </w:rPr>
        <w:t>Whether the award is recognized within the National Framework of Qualifications (NFQ) and if so:</w:t>
      </w:r>
    </w:p>
    <w:p w:rsidR="00A910EF" w:rsidRPr="00BE4257" w:rsidRDefault="00A910EF" w:rsidP="00BE4257">
      <w:pPr>
        <w:pStyle w:val="ListParagraph"/>
        <w:numPr>
          <w:ilvl w:val="1"/>
          <w:numId w:val="4"/>
        </w:numPr>
        <w:jc w:val="both"/>
        <w:rPr>
          <w:rFonts w:asciiTheme="minorHAnsi" w:hAnsiTheme="minorHAnsi" w:cstheme="minorHAnsi"/>
          <w:lang w:val="en-US"/>
        </w:rPr>
      </w:pPr>
      <w:r w:rsidRPr="00BE4257">
        <w:rPr>
          <w:rFonts w:asciiTheme="minorHAnsi" w:hAnsiTheme="minorHAnsi" w:cstheme="minorHAnsi"/>
          <w:lang w:val="en-US"/>
        </w:rPr>
        <w:t>The level of that recognition within the NFQ</w:t>
      </w:r>
    </w:p>
    <w:p w:rsidR="00A910EF" w:rsidRPr="00BE4257" w:rsidRDefault="00A910EF" w:rsidP="00BE4257">
      <w:pPr>
        <w:pStyle w:val="ListParagraph"/>
        <w:numPr>
          <w:ilvl w:val="1"/>
          <w:numId w:val="4"/>
        </w:numPr>
        <w:jc w:val="both"/>
        <w:rPr>
          <w:rFonts w:asciiTheme="minorHAnsi" w:hAnsiTheme="minorHAnsi" w:cstheme="minorHAnsi"/>
          <w:lang w:val="en-US"/>
        </w:rPr>
      </w:pPr>
      <w:r w:rsidRPr="00BE4257">
        <w:rPr>
          <w:rFonts w:asciiTheme="minorHAnsi" w:hAnsiTheme="minorHAnsi" w:cstheme="minorHAnsi"/>
          <w:lang w:val="en-US"/>
        </w:rPr>
        <w:t xml:space="preserve">Whether the award is a Major, Minor, Special Purpose or Supplemental award as </w:t>
      </w:r>
      <w:r w:rsidR="00D661A0" w:rsidRPr="00BE4257">
        <w:rPr>
          <w:rFonts w:asciiTheme="minorHAnsi" w:hAnsiTheme="minorHAnsi" w:cstheme="minorHAnsi"/>
          <w:lang w:val="en-US"/>
        </w:rPr>
        <w:t>identified</w:t>
      </w:r>
      <w:r w:rsidRPr="00BE4257">
        <w:rPr>
          <w:rFonts w:asciiTheme="minorHAnsi" w:hAnsiTheme="minorHAnsi" w:cstheme="minorHAnsi"/>
          <w:lang w:val="en-US"/>
        </w:rPr>
        <w:t xml:space="preserve"> within the NFQ</w:t>
      </w:r>
    </w:p>
    <w:p w:rsidR="00A910EF" w:rsidRPr="00BE4257" w:rsidRDefault="00A910EF" w:rsidP="00BE4257">
      <w:pPr>
        <w:pStyle w:val="ListParagraph"/>
        <w:numPr>
          <w:ilvl w:val="0"/>
          <w:numId w:val="4"/>
        </w:numPr>
        <w:jc w:val="both"/>
        <w:rPr>
          <w:rFonts w:asciiTheme="minorHAnsi" w:hAnsiTheme="minorHAnsi" w:cstheme="minorHAnsi"/>
          <w:lang w:val="en-US"/>
        </w:rPr>
      </w:pPr>
      <w:r w:rsidRPr="00BE4257">
        <w:rPr>
          <w:rFonts w:asciiTheme="minorHAnsi" w:hAnsiTheme="minorHAnsi" w:cstheme="minorHAnsi"/>
          <w:lang w:val="en-US"/>
        </w:rPr>
        <w:t>That successful completion of the programme by the learner does not lead to an award, but to a certificate of completion of similar, where that is the case</w:t>
      </w:r>
    </w:p>
    <w:p w:rsidR="00A910EF" w:rsidRPr="00BE4257" w:rsidRDefault="00A910EF" w:rsidP="00BE4257">
      <w:pPr>
        <w:pStyle w:val="ListParagraph"/>
        <w:numPr>
          <w:ilvl w:val="1"/>
          <w:numId w:val="4"/>
        </w:numPr>
        <w:jc w:val="both"/>
        <w:rPr>
          <w:rFonts w:asciiTheme="minorHAnsi" w:hAnsiTheme="minorHAnsi" w:cstheme="minorHAnsi"/>
          <w:lang w:val="en-US"/>
        </w:rPr>
      </w:pPr>
      <w:r w:rsidRPr="00BE4257">
        <w:rPr>
          <w:rFonts w:asciiTheme="minorHAnsi" w:hAnsiTheme="minorHAnsi" w:cstheme="minorHAnsi"/>
          <w:lang w:val="en-US"/>
        </w:rPr>
        <w:t>Where the provider is required to have procedures for access, transfer and progression in place under Section 56 of the 2012 Act, a statement of how those procedures apply to that programme.</w:t>
      </w:r>
    </w:p>
    <w:p w:rsidR="00A910EF" w:rsidRPr="00BE4257" w:rsidRDefault="00A910EF" w:rsidP="00BE4257">
      <w:pPr>
        <w:pStyle w:val="ListParagraph"/>
        <w:numPr>
          <w:ilvl w:val="1"/>
          <w:numId w:val="4"/>
        </w:numPr>
        <w:jc w:val="both"/>
        <w:rPr>
          <w:rFonts w:asciiTheme="minorHAnsi" w:hAnsiTheme="minorHAnsi" w:cstheme="minorHAnsi"/>
          <w:lang w:val="en-US"/>
        </w:rPr>
      </w:pPr>
      <w:r w:rsidRPr="00BE4257">
        <w:rPr>
          <w:rFonts w:asciiTheme="minorHAnsi" w:hAnsiTheme="minorHAnsi" w:cstheme="minorHAnsi"/>
          <w:lang w:val="en-US"/>
        </w:rPr>
        <w:t>The details of the arrangements for PEL that the provider has in place, in accordance with Section 65(4) of the 2012 Act, or where no PEL arrangements are in place, that this fact be made clear</w:t>
      </w:r>
    </w:p>
    <w:p w:rsidR="00A910EF" w:rsidRPr="00BE4257" w:rsidRDefault="00A910EF" w:rsidP="00BE4257">
      <w:pPr>
        <w:pStyle w:val="ListParagraph"/>
        <w:ind w:left="0"/>
        <w:jc w:val="both"/>
        <w:rPr>
          <w:rFonts w:asciiTheme="minorHAnsi" w:hAnsiTheme="minorHAnsi" w:cstheme="minorHAnsi"/>
          <w:lang w:val="en-US"/>
        </w:rPr>
      </w:pPr>
    </w:p>
    <w:p w:rsidR="006452B4" w:rsidRPr="00BE4257" w:rsidRDefault="00A910EF" w:rsidP="00BE4257">
      <w:pPr>
        <w:pStyle w:val="ListParagraph"/>
        <w:ind w:left="0"/>
        <w:jc w:val="both"/>
        <w:rPr>
          <w:rFonts w:asciiTheme="minorHAnsi" w:hAnsiTheme="minorHAnsi" w:cstheme="minorHAnsi"/>
          <w:lang w:val="en-US"/>
        </w:rPr>
      </w:pPr>
      <w:r w:rsidRPr="00BE4257">
        <w:rPr>
          <w:rFonts w:asciiTheme="minorHAnsi" w:hAnsiTheme="minorHAnsi" w:cstheme="minorHAnsi"/>
          <w:lang w:val="en-US"/>
        </w:rPr>
        <w:t xml:space="preserve">All collaborative and linked providers </w:t>
      </w:r>
      <w:r w:rsidR="005034EA" w:rsidRPr="00BE4257">
        <w:rPr>
          <w:rFonts w:asciiTheme="minorHAnsi" w:hAnsiTheme="minorHAnsi" w:cstheme="minorHAnsi"/>
          <w:lang w:val="en-US"/>
        </w:rPr>
        <w:t xml:space="preserve">need to provide to TU Dublin </w:t>
      </w:r>
      <w:r w:rsidR="00CB7FBB" w:rsidRPr="00BE4257">
        <w:rPr>
          <w:rFonts w:asciiTheme="minorHAnsi" w:hAnsiTheme="minorHAnsi" w:cstheme="minorHAnsi"/>
          <w:lang w:val="en-US"/>
        </w:rPr>
        <w:t xml:space="preserve">information on how and where this information will be made accessible to learners.  </w:t>
      </w:r>
    </w:p>
    <w:p w:rsidR="005072AC" w:rsidRPr="00BE4257" w:rsidRDefault="005072AC" w:rsidP="00BE4257">
      <w:pPr>
        <w:jc w:val="both"/>
        <w:rPr>
          <w:rFonts w:asciiTheme="minorHAnsi" w:hAnsiTheme="minorHAnsi" w:cstheme="minorHAnsi"/>
          <w:lang w:val="en-US"/>
        </w:rPr>
      </w:pPr>
      <w:bookmarkStart w:id="0" w:name="_GoBack"/>
      <w:bookmarkEnd w:id="0"/>
    </w:p>
    <w:sectPr w:rsidR="005072AC" w:rsidRPr="00BE4257" w:rsidSect="000037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3A" w:rsidRDefault="00EE343A" w:rsidP="00BB3906">
      <w:pPr>
        <w:spacing w:after="0" w:line="240" w:lineRule="auto"/>
      </w:pPr>
      <w:r>
        <w:separator/>
      </w:r>
    </w:p>
  </w:endnote>
  <w:endnote w:type="continuationSeparator" w:id="0">
    <w:p w:rsidR="00EE343A" w:rsidRDefault="00EE343A" w:rsidP="00BB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33963"/>
      <w:docPartObj>
        <w:docPartGallery w:val="Page Numbers (Bottom of Page)"/>
        <w:docPartUnique/>
      </w:docPartObj>
    </w:sdtPr>
    <w:sdtEndPr>
      <w:rPr>
        <w:noProof/>
      </w:rPr>
    </w:sdtEndPr>
    <w:sdtContent>
      <w:p w:rsidR="009F65D6" w:rsidRDefault="009F65D6">
        <w:pPr>
          <w:pStyle w:val="Footer"/>
          <w:jc w:val="right"/>
        </w:pPr>
        <w:r>
          <w:fldChar w:fldCharType="begin"/>
        </w:r>
        <w:r>
          <w:instrText xml:space="preserve"> PAGE   \* MERGEFORMAT </w:instrText>
        </w:r>
        <w:r>
          <w:fldChar w:fldCharType="separate"/>
        </w:r>
        <w:r w:rsidR="00EE343A">
          <w:rPr>
            <w:noProof/>
          </w:rPr>
          <w:t>1</w:t>
        </w:r>
        <w:r>
          <w:rPr>
            <w:noProof/>
          </w:rPr>
          <w:fldChar w:fldCharType="end"/>
        </w:r>
      </w:p>
    </w:sdtContent>
  </w:sdt>
  <w:p w:rsidR="009F65D6" w:rsidRDefault="009F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3A" w:rsidRDefault="00EE343A" w:rsidP="00BB3906">
      <w:pPr>
        <w:spacing w:after="0" w:line="240" w:lineRule="auto"/>
      </w:pPr>
      <w:r>
        <w:separator/>
      </w:r>
    </w:p>
  </w:footnote>
  <w:footnote w:type="continuationSeparator" w:id="0">
    <w:p w:rsidR="00EE343A" w:rsidRDefault="00EE343A" w:rsidP="00BB3906">
      <w:pPr>
        <w:spacing w:after="0" w:line="240" w:lineRule="auto"/>
      </w:pPr>
      <w:r>
        <w:continuationSeparator/>
      </w:r>
    </w:p>
  </w:footnote>
  <w:footnote w:id="1">
    <w:p w:rsidR="00BE4257" w:rsidRPr="00BE4257" w:rsidRDefault="00BE4257">
      <w:pPr>
        <w:pStyle w:val="FootnoteText"/>
        <w:rPr>
          <w:lang w:val="en-GB"/>
        </w:rPr>
      </w:pPr>
      <w:r w:rsidRPr="00BE4257">
        <w:rPr>
          <w:rStyle w:val="FootnoteReference"/>
          <w:sz w:val="18"/>
          <w:szCs w:val="18"/>
        </w:rPr>
        <w:footnoteRef/>
      </w:r>
      <w:r w:rsidRPr="00BE4257">
        <w:rPr>
          <w:sz w:val="18"/>
          <w:szCs w:val="18"/>
        </w:rPr>
        <w:t xml:space="preserve"> </w:t>
      </w:r>
      <w:r w:rsidRPr="00BE4257">
        <w:rPr>
          <w:rFonts w:asciiTheme="minorHAnsi" w:hAnsiTheme="minorHAnsi" w:cstheme="minorHAnsi"/>
          <w:sz w:val="18"/>
          <w:szCs w:val="18"/>
          <w:lang w:val="en-US"/>
        </w:rPr>
        <w:t>Duration refers to the period from the commencement of instruction to the point where learners have had the result of their assessment confirmed by the provider or they have been legitimately excluded from the programme</w:t>
      </w:r>
      <w:r w:rsidRPr="00BE4257">
        <w:rPr>
          <w:rFonts w:asciiTheme="minorHAnsi" w:hAnsiTheme="minorHAnsi" w:cstheme="minorHAnsi"/>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E54"/>
    <w:multiLevelType w:val="hybridMultilevel"/>
    <w:tmpl w:val="0DC6B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270A5B"/>
    <w:multiLevelType w:val="hybridMultilevel"/>
    <w:tmpl w:val="2A86A9B8"/>
    <w:lvl w:ilvl="0" w:tplc="38C09B02">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D64752"/>
    <w:multiLevelType w:val="hybridMultilevel"/>
    <w:tmpl w:val="4B44D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80B75"/>
    <w:multiLevelType w:val="hybridMultilevel"/>
    <w:tmpl w:val="8B885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7053C8"/>
    <w:multiLevelType w:val="hybridMultilevel"/>
    <w:tmpl w:val="E522D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D6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D40FA1"/>
    <w:multiLevelType w:val="hybridMultilevel"/>
    <w:tmpl w:val="30A0F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9D2D3C"/>
    <w:multiLevelType w:val="hybridMultilevel"/>
    <w:tmpl w:val="01F46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D34448"/>
    <w:multiLevelType w:val="multilevel"/>
    <w:tmpl w:val="F3801E22"/>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6E4D5420"/>
    <w:multiLevelType w:val="multilevel"/>
    <w:tmpl w:val="66C6266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15:restartNumberingAfterBreak="0">
    <w:nsid w:val="6F8C14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7009A2"/>
    <w:multiLevelType w:val="hybridMultilevel"/>
    <w:tmpl w:val="79B0B5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9"/>
  </w:num>
  <w:num w:numId="9">
    <w:abstractNumId w:val="2"/>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8C"/>
    <w:rsid w:val="00003730"/>
    <w:rsid w:val="00017ED8"/>
    <w:rsid w:val="00020A07"/>
    <w:rsid w:val="00020BD2"/>
    <w:rsid w:val="00033F3A"/>
    <w:rsid w:val="00056A44"/>
    <w:rsid w:val="00076B2A"/>
    <w:rsid w:val="0007759E"/>
    <w:rsid w:val="0008372F"/>
    <w:rsid w:val="000941B2"/>
    <w:rsid w:val="000D1138"/>
    <w:rsid w:val="000D4690"/>
    <w:rsid w:val="000E26EB"/>
    <w:rsid w:val="000E3451"/>
    <w:rsid w:val="001004E2"/>
    <w:rsid w:val="001078B5"/>
    <w:rsid w:val="0011034E"/>
    <w:rsid w:val="00191103"/>
    <w:rsid w:val="001B69CE"/>
    <w:rsid w:val="001C2E02"/>
    <w:rsid w:val="001C5A43"/>
    <w:rsid w:val="001F55F4"/>
    <w:rsid w:val="002334F7"/>
    <w:rsid w:val="00234432"/>
    <w:rsid w:val="00240046"/>
    <w:rsid w:val="00282440"/>
    <w:rsid w:val="002864CD"/>
    <w:rsid w:val="002E224F"/>
    <w:rsid w:val="002F4731"/>
    <w:rsid w:val="003013DA"/>
    <w:rsid w:val="00310813"/>
    <w:rsid w:val="00331C40"/>
    <w:rsid w:val="00335846"/>
    <w:rsid w:val="00336C49"/>
    <w:rsid w:val="00344352"/>
    <w:rsid w:val="00353ACE"/>
    <w:rsid w:val="003711D4"/>
    <w:rsid w:val="00391411"/>
    <w:rsid w:val="003C5095"/>
    <w:rsid w:val="003C515B"/>
    <w:rsid w:val="0041399F"/>
    <w:rsid w:val="00457874"/>
    <w:rsid w:val="00494955"/>
    <w:rsid w:val="004A4963"/>
    <w:rsid w:val="004A749C"/>
    <w:rsid w:val="00500721"/>
    <w:rsid w:val="005034EA"/>
    <w:rsid w:val="005072AC"/>
    <w:rsid w:val="0055424A"/>
    <w:rsid w:val="00554D42"/>
    <w:rsid w:val="00556DC8"/>
    <w:rsid w:val="0057394B"/>
    <w:rsid w:val="00581F8F"/>
    <w:rsid w:val="005860BE"/>
    <w:rsid w:val="005C3090"/>
    <w:rsid w:val="0061535B"/>
    <w:rsid w:val="006452B4"/>
    <w:rsid w:val="006610BD"/>
    <w:rsid w:val="00664C77"/>
    <w:rsid w:val="00671C32"/>
    <w:rsid w:val="006A78B3"/>
    <w:rsid w:val="006F7A0E"/>
    <w:rsid w:val="00712E14"/>
    <w:rsid w:val="00757B02"/>
    <w:rsid w:val="007E23D3"/>
    <w:rsid w:val="007E5519"/>
    <w:rsid w:val="008177AE"/>
    <w:rsid w:val="00824A79"/>
    <w:rsid w:val="00893EDE"/>
    <w:rsid w:val="008E2961"/>
    <w:rsid w:val="008F36C8"/>
    <w:rsid w:val="00963E06"/>
    <w:rsid w:val="009807EE"/>
    <w:rsid w:val="009A60F8"/>
    <w:rsid w:val="009A7596"/>
    <w:rsid w:val="009C4B31"/>
    <w:rsid w:val="009C5D10"/>
    <w:rsid w:val="009F65D6"/>
    <w:rsid w:val="00A27609"/>
    <w:rsid w:val="00A5420D"/>
    <w:rsid w:val="00A7588C"/>
    <w:rsid w:val="00A802A7"/>
    <w:rsid w:val="00A8540E"/>
    <w:rsid w:val="00A910EF"/>
    <w:rsid w:val="00AA1300"/>
    <w:rsid w:val="00AB0F14"/>
    <w:rsid w:val="00B06AA4"/>
    <w:rsid w:val="00B53234"/>
    <w:rsid w:val="00B75361"/>
    <w:rsid w:val="00BB3906"/>
    <w:rsid w:val="00BE4257"/>
    <w:rsid w:val="00C1376D"/>
    <w:rsid w:val="00CA1E2D"/>
    <w:rsid w:val="00CB7FBB"/>
    <w:rsid w:val="00D544B0"/>
    <w:rsid w:val="00D661A0"/>
    <w:rsid w:val="00D86D09"/>
    <w:rsid w:val="00DC36D2"/>
    <w:rsid w:val="00DD19C2"/>
    <w:rsid w:val="00DF2FC8"/>
    <w:rsid w:val="00E25389"/>
    <w:rsid w:val="00E77B76"/>
    <w:rsid w:val="00E92CA5"/>
    <w:rsid w:val="00E97DA8"/>
    <w:rsid w:val="00EC76BE"/>
    <w:rsid w:val="00ED1AE5"/>
    <w:rsid w:val="00ED485D"/>
    <w:rsid w:val="00EE343A"/>
    <w:rsid w:val="00F245E0"/>
    <w:rsid w:val="00F36A87"/>
    <w:rsid w:val="00F56797"/>
    <w:rsid w:val="00F5694A"/>
    <w:rsid w:val="00F760A3"/>
    <w:rsid w:val="00F901E4"/>
    <w:rsid w:val="00FA7491"/>
    <w:rsid w:val="00FD4D37"/>
    <w:rsid w:val="00FD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3599"/>
  <w15:docId w15:val="{E4E30BAA-2818-4AEB-9258-37F8E8E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30"/>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0D"/>
    <w:pPr>
      <w:ind w:left="720"/>
      <w:contextualSpacing/>
    </w:pPr>
  </w:style>
  <w:style w:type="character" w:styleId="CommentReference">
    <w:name w:val="annotation reference"/>
    <w:basedOn w:val="DefaultParagraphFont"/>
    <w:uiPriority w:val="99"/>
    <w:semiHidden/>
    <w:unhideWhenUsed/>
    <w:rsid w:val="00017ED8"/>
    <w:rPr>
      <w:sz w:val="16"/>
      <w:szCs w:val="16"/>
    </w:rPr>
  </w:style>
  <w:style w:type="paragraph" w:styleId="CommentText">
    <w:name w:val="annotation text"/>
    <w:basedOn w:val="Normal"/>
    <w:link w:val="CommentTextChar"/>
    <w:uiPriority w:val="99"/>
    <w:semiHidden/>
    <w:unhideWhenUsed/>
    <w:rsid w:val="00017ED8"/>
    <w:rPr>
      <w:sz w:val="20"/>
      <w:szCs w:val="20"/>
    </w:rPr>
  </w:style>
  <w:style w:type="character" w:customStyle="1" w:styleId="CommentTextChar">
    <w:name w:val="Comment Text Char"/>
    <w:basedOn w:val="DefaultParagraphFont"/>
    <w:link w:val="CommentText"/>
    <w:uiPriority w:val="99"/>
    <w:semiHidden/>
    <w:rsid w:val="00017ED8"/>
    <w:rPr>
      <w:lang w:val="en-IE" w:eastAsia="en-US"/>
    </w:rPr>
  </w:style>
  <w:style w:type="paragraph" w:styleId="CommentSubject">
    <w:name w:val="annotation subject"/>
    <w:basedOn w:val="CommentText"/>
    <w:next w:val="CommentText"/>
    <w:link w:val="CommentSubjectChar"/>
    <w:uiPriority w:val="99"/>
    <w:semiHidden/>
    <w:unhideWhenUsed/>
    <w:rsid w:val="00017ED8"/>
    <w:rPr>
      <w:b/>
      <w:bCs/>
    </w:rPr>
  </w:style>
  <w:style w:type="character" w:customStyle="1" w:styleId="CommentSubjectChar">
    <w:name w:val="Comment Subject Char"/>
    <w:basedOn w:val="CommentTextChar"/>
    <w:link w:val="CommentSubject"/>
    <w:uiPriority w:val="99"/>
    <w:semiHidden/>
    <w:rsid w:val="00017ED8"/>
    <w:rPr>
      <w:b/>
      <w:bCs/>
      <w:lang w:val="en-IE" w:eastAsia="en-US"/>
    </w:rPr>
  </w:style>
  <w:style w:type="paragraph" w:styleId="BalloonText">
    <w:name w:val="Balloon Text"/>
    <w:basedOn w:val="Normal"/>
    <w:link w:val="BalloonTextChar"/>
    <w:uiPriority w:val="99"/>
    <w:semiHidden/>
    <w:unhideWhenUsed/>
    <w:rsid w:val="0001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D8"/>
    <w:rPr>
      <w:rFonts w:ascii="Tahoma" w:hAnsi="Tahoma" w:cs="Tahoma"/>
      <w:sz w:val="16"/>
      <w:szCs w:val="16"/>
      <w:lang w:val="en-IE" w:eastAsia="en-US"/>
    </w:rPr>
  </w:style>
  <w:style w:type="paragraph" w:styleId="Header">
    <w:name w:val="header"/>
    <w:basedOn w:val="Normal"/>
    <w:link w:val="HeaderChar"/>
    <w:uiPriority w:val="99"/>
    <w:unhideWhenUsed/>
    <w:rsid w:val="00BB3906"/>
    <w:pPr>
      <w:tabs>
        <w:tab w:val="center" w:pos="4513"/>
        <w:tab w:val="right" w:pos="9026"/>
      </w:tabs>
    </w:pPr>
  </w:style>
  <w:style w:type="character" w:customStyle="1" w:styleId="HeaderChar">
    <w:name w:val="Header Char"/>
    <w:basedOn w:val="DefaultParagraphFont"/>
    <w:link w:val="Header"/>
    <w:uiPriority w:val="99"/>
    <w:rsid w:val="00BB3906"/>
    <w:rPr>
      <w:sz w:val="22"/>
      <w:szCs w:val="22"/>
      <w:lang w:val="en-IE" w:eastAsia="en-US"/>
    </w:rPr>
  </w:style>
  <w:style w:type="paragraph" w:styleId="Footer">
    <w:name w:val="footer"/>
    <w:basedOn w:val="Normal"/>
    <w:link w:val="FooterChar"/>
    <w:uiPriority w:val="99"/>
    <w:unhideWhenUsed/>
    <w:rsid w:val="00BB3906"/>
    <w:pPr>
      <w:tabs>
        <w:tab w:val="center" w:pos="4513"/>
        <w:tab w:val="right" w:pos="9026"/>
      </w:tabs>
    </w:pPr>
  </w:style>
  <w:style w:type="character" w:customStyle="1" w:styleId="FooterChar">
    <w:name w:val="Footer Char"/>
    <w:basedOn w:val="DefaultParagraphFont"/>
    <w:link w:val="Footer"/>
    <w:uiPriority w:val="99"/>
    <w:rsid w:val="00BB3906"/>
    <w:rPr>
      <w:sz w:val="22"/>
      <w:szCs w:val="22"/>
      <w:lang w:val="en-IE" w:eastAsia="en-US"/>
    </w:rPr>
  </w:style>
  <w:style w:type="paragraph" w:styleId="FootnoteText">
    <w:name w:val="footnote text"/>
    <w:basedOn w:val="Normal"/>
    <w:link w:val="FootnoteTextChar"/>
    <w:uiPriority w:val="99"/>
    <w:semiHidden/>
    <w:unhideWhenUsed/>
    <w:rsid w:val="00BE4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257"/>
    <w:rPr>
      <w:lang w:val="en-IE" w:eastAsia="en-US"/>
    </w:rPr>
  </w:style>
  <w:style w:type="character" w:styleId="FootnoteReference">
    <w:name w:val="footnote reference"/>
    <w:basedOn w:val="DefaultParagraphFont"/>
    <w:uiPriority w:val="99"/>
    <w:semiHidden/>
    <w:unhideWhenUsed/>
    <w:rsid w:val="00BE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62A0-0761-4B75-BF08-B39358A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ONeill</dc:creator>
  <cp:lastModifiedBy>Nicole ONeill</cp:lastModifiedBy>
  <cp:revision>2</cp:revision>
  <cp:lastPrinted>2014-11-28T10:37:00Z</cp:lastPrinted>
  <dcterms:created xsi:type="dcterms:W3CDTF">2022-03-02T15:41:00Z</dcterms:created>
  <dcterms:modified xsi:type="dcterms:W3CDTF">2022-03-02T15:41:00Z</dcterms:modified>
</cp:coreProperties>
</file>