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9BF2" w14:textId="15A75EEA" w:rsidR="008D735F" w:rsidRDefault="001735EF" w:rsidP="001735EF">
      <w:pPr>
        <w:pStyle w:val="Heading1"/>
        <w:rPr>
          <w:lang w:val="en-GB"/>
        </w:rPr>
      </w:pPr>
      <w:r>
        <w:rPr>
          <w:lang w:val="en-GB"/>
        </w:rPr>
        <w:t>Introducing the PICRAT model</w:t>
      </w:r>
    </w:p>
    <w:p w14:paraId="46D0582A" w14:textId="77777777" w:rsidR="001735EF" w:rsidRDefault="001735EF">
      <w:pPr>
        <w:rPr>
          <w:lang w:val="en-GB"/>
        </w:rPr>
      </w:pPr>
    </w:p>
    <w:p w14:paraId="5C6EC9FA" w14:textId="378FF0B9" w:rsidR="001735EF" w:rsidRPr="001735EF" w:rsidRDefault="001735EF">
      <w:pPr>
        <w:rPr>
          <w:rStyle w:val="Strong"/>
        </w:rPr>
      </w:pPr>
      <w:r w:rsidRPr="001735EF">
        <w:rPr>
          <w:rStyle w:val="Strong"/>
        </w:rPr>
        <w:t>The ‘PIC’ of PICRAT</w:t>
      </w:r>
    </w:p>
    <w:p w14:paraId="74558392" w14:textId="65973776" w:rsidR="001735EF" w:rsidRDefault="001735EF">
      <w:pPr>
        <w:rPr>
          <w:lang w:val="en-GB"/>
        </w:rPr>
      </w:pPr>
      <w:r>
        <w:rPr>
          <w:lang w:val="en-GB"/>
        </w:rPr>
        <w:t>This part of the model asks the question ‘What is the student’s relationship to the technology?’, to which there are three answers:</w:t>
      </w:r>
    </w:p>
    <w:p w14:paraId="5A63C7ED" w14:textId="2E24B2AB" w:rsidR="001735EF" w:rsidRDefault="001735EF" w:rsidP="001735EF">
      <w:pPr>
        <w:pStyle w:val="ListParagraph"/>
        <w:numPr>
          <w:ilvl w:val="0"/>
          <w:numId w:val="1"/>
        </w:numPr>
        <w:rPr>
          <w:lang w:val="en-GB"/>
        </w:rPr>
      </w:pPr>
      <w:r>
        <w:rPr>
          <w:lang w:val="en-GB"/>
        </w:rPr>
        <w:t>Passive: Technology is used to deliver content but the students are not interacting with the technology or content e.g. watching a video or listening to a podcast</w:t>
      </w:r>
    </w:p>
    <w:p w14:paraId="1B4EFD4C" w14:textId="3F5E7646" w:rsidR="001735EF" w:rsidRDefault="001735EF" w:rsidP="001735EF">
      <w:pPr>
        <w:pStyle w:val="ListParagraph"/>
        <w:numPr>
          <w:ilvl w:val="0"/>
          <w:numId w:val="1"/>
        </w:numPr>
        <w:rPr>
          <w:lang w:val="en-GB"/>
        </w:rPr>
      </w:pPr>
      <w:r>
        <w:rPr>
          <w:lang w:val="en-GB"/>
        </w:rPr>
        <w:t>Interactive: Technology is used to delivery content but the students must respond and engage with the content via technology e.g. taking online interactive quizzes or posting comments in a discussion board</w:t>
      </w:r>
    </w:p>
    <w:p w14:paraId="712E98BB" w14:textId="10247B75" w:rsidR="001735EF" w:rsidRDefault="001735EF" w:rsidP="001735EF">
      <w:pPr>
        <w:pStyle w:val="ListParagraph"/>
        <w:numPr>
          <w:ilvl w:val="0"/>
          <w:numId w:val="1"/>
        </w:numPr>
        <w:rPr>
          <w:lang w:val="en-GB"/>
        </w:rPr>
      </w:pPr>
      <w:r>
        <w:rPr>
          <w:lang w:val="en-GB"/>
        </w:rPr>
        <w:t>Creative: Students actively create something new using technology</w:t>
      </w:r>
    </w:p>
    <w:p w14:paraId="04051D5B" w14:textId="77777777" w:rsidR="001735EF" w:rsidRDefault="001735EF" w:rsidP="001735EF">
      <w:pPr>
        <w:rPr>
          <w:lang w:val="en-GB"/>
        </w:rPr>
      </w:pPr>
      <w:r>
        <w:rPr>
          <w:lang w:val="en-GB"/>
        </w:rPr>
        <w:t>This part of the model can also be mapped against Bloom’s taxonomy</w:t>
      </w:r>
      <w:r w:rsidRPr="001735EF">
        <w:t xml:space="preserve"> </w:t>
      </w:r>
      <w:r w:rsidRPr="001735EF">
        <w:rPr>
          <w:lang w:val="en-GB"/>
        </w:rPr>
        <w:t>where passive learning activities support lower-level cognitive objectives like remembering; interactive activities support mid-level objectives like applying; and creative activities support higher-level objectives such as evaluating and creating</w:t>
      </w:r>
      <w:r>
        <w:rPr>
          <w:lang w:val="en-GB"/>
        </w:rPr>
        <w:t>.</w:t>
      </w:r>
    </w:p>
    <w:p w14:paraId="6BAD216A" w14:textId="77777777" w:rsidR="001735EF" w:rsidRDefault="001735EF" w:rsidP="001735EF">
      <w:pPr>
        <w:rPr>
          <w:lang w:val="en-GB"/>
        </w:rPr>
      </w:pPr>
    </w:p>
    <w:p w14:paraId="53496682" w14:textId="467FEF8F" w:rsidR="001735EF" w:rsidRPr="001735EF" w:rsidRDefault="001735EF" w:rsidP="001735EF">
      <w:pPr>
        <w:rPr>
          <w:rStyle w:val="Strong"/>
          <w:lang w:val="en-GB"/>
        </w:rPr>
      </w:pPr>
      <w:r w:rsidRPr="001735EF">
        <w:rPr>
          <w:rStyle w:val="Strong"/>
        </w:rPr>
        <w:t xml:space="preserve">The ‘RAT’ of PICRAT </w:t>
      </w:r>
    </w:p>
    <w:p w14:paraId="1604D805" w14:textId="7537A353" w:rsidR="001735EF" w:rsidRDefault="001735EF" w:rsidP="001735EF">
      <w:pPr>
        <w:rPr>
          <w:lang w:val="en-GB"/>
        </w:rPr>
      </w:pPr>
      <w:r>
        <w:rPr>
          <w:lang w:val="en-GB"/>
        </w:rPr>
        <w:t>This part of the model asks the question ‘</w:t>
      </w:r>
      <w:r>
        <w:rPr>
          <w:lang w:val="en-GB"/>
        </w:rPr>
        <w:t>How is the use of technology influencing the teacher’s existing practice</w:t>
      </w:r>
      <w:r>
        <w:rPr>
          <w:lang w:val="en-GB"/>
        </w:rPr>
        <w:t>?’, to which there are three answers</w:t>
      </w:r>
      <w:r>
        <w:rPr>
          <w:lang w:val="en-GB"/>
        </w:rPr>
        <w:t>:</w:t>
      </w:r>
    </w:p>
    <w:p w14:paraId="6FC524D8" w14:textId="50459055" w:rsidR="001735EF" w:rsidRDefault="001735EF" w:rsidP="001735EF">
      <w:pPr>
        <w:pStyle w:val="ListParagraph"/>
        <w:numPr>
          <w:ilvl w:val="0"/>
          <w:numId w:val="2"/>
        </w:numPr>
        <w:rPr>
          <w:lang w:val="en-GB"/>
        </w:rPr>
      </w:pPr>
      <w:r>
        <w:rPr>
          <w:lang w:val="en-GB"/>
        </w:rPr>
        <w:t xml:space="preserve">Replacement: </w:t>
      </w:r>
      <w:r w:rsidRPr="001735EF">
        <w:rPr>
          <w:lang w:val="en-GB"/>
        </w:rPr>
        <w:t>The same instructional practices are carried out but are facilitated by technology</w:t>
      </w:r>
    </w:p>
    <w:p w14:paraId="2F5A5381" w14:textId="18FC9563" w:rsidR="001735EF" w:rsidRDefault="001735EF" w:rsidP="001735EF">
      <w:pPr>
        <w:pStyle w:val="ListParagraph"/>
        <w:numPr>
          <w:ilvl w:val="0"/>
          <w:numId w:val="2"/>
        </w:numPr>
        <w:rPr>
          <w:lang w:val="en-GB"/>
        </w:rPr>
      </w:pPr>
      <w:r>
        <w:rPr>
          <w:lang w:val="en-GB"/>
        </w:rPr>
        <w:t xml:space="preserve">Amplification: </w:t>
      </w:r>
      <w:r w:rsidRPr="001735EF">
        <w:rPr>
          <w:lang w:val="en-GB"/>
        </w:rPr>
        <w:t>The integration of technology has increased the efficiency, productivity and effectiveness of the same instructional practice</w:t>
      </w:r>
    </w:p>
    <w:p w14:paraId="758F881A" w14:textId="04569A16" w:rsidR="001735EF" w:rsidRDefault="001735EF" w:rsidP="001735EF">
      <w:pPr>
        <w:pStyle w:val="ListParagraph"/>
        <w:numPr>
          <w:ilvl w:val="0"/>
          <w:numId w:val="2"/>
        </w:numPr>
        <w:rPr>
          <w:lang w:val="en-GB"/>
        </w:rPr>
      </w:pPr>
      <w:r>
        <w:rPr>
          <w:lang w:val="en-GB"/>
        </w:rPr>
        <w:t xml:space="preserve">Transformation: </w:t>
      </w:r>
      <w:r w:rsidRPr="001735EF">
        <w:rPr>
          <w:lang w:val="en-GB"/>
        </w:rPr>
        <w:t>The integration of technology has generated new instruction, learning or curricula</w:t>
      </w:r>
    </w:p>
    <w:p w14:paraId="0C7F4585" w14:textId="77777777" w:rsidR="001735EF" w:rsidRDefault="001735EF" w:rsidP="001735EF">
      <w:pPr>
        <w:rPr>
          <w:lang w:val="en-GB"/>
        </w:rPr>
      </w:pPr>
    </w:p>
    <w:p w14:paraId="643E9D40" w14:textId="51DAE82E" w:rsidR="001735EF" w:rsidRPr="001735EF" w:rsidRDefault="001735EF" w:rsidP="001735EF">
      <w:pPr>
        <w:rPr>
          <w:rStyle w:val="Strong"/>
        </w:rPr>
      </w:pPr>
      <w:r w:rsidRPr="001735EF">
        <w:rPr>
          <w:rStyle w:val="Strong"/>
        </w:rPr>
        <w:t>The PICRAT Matrix</w:t>
      </w:r>
    </w:p>
    <w:p w14:paraId="613F6808" w14:textId="3A340A87" w:rsidR="001735EF" w:rsidRDefault="001735EF" w:rsidP="001735EF">
      <w:pPr>
        <w:rPr>
          <w:rFonts w:ascii="Calibri" w:hAnsi="Calibri" w:cs="Calibri"/>
          <w:sz w:val="22"/>
          <w:szCs w:val="22"/>
          <w:lang w:val="en-GB"/>
        </w:rPr>
      </w:pPr>
      <w:r>
        <w:rPr>
          <w:rFonts w:ascii="Calibri" w:hAnsi="Calibri" w:cs="Calibri"/>
          <w:sz w:val="22"/>
          <w:szCs w:val="22"/>
          <w:lang w:val="en-GB"/>
        </w:rPr>
        <w:t>The a</w:t>
      </w:r>
      <w:r w:rsidRPr="009151C8">
        <w:rPr>
          <w:rFonts w:ascii="Calibri" w:hAnsi="Calibri" w:cs="Calibri"/>
          <w:sz w:val="22"/>
          <w:szCs w:val="22"/>
          <w:lang w:val="en-GB"/>
        </w:rPr>
        <w:t>nswers to the</w:t>
      </w:r>
      <w:r>
        <w:rPr>
          <w:rFonts w:ascii="Calibri" w:hAnsi="Calibri" w:cs="Calibri"/>
          <w:sz w:val="22"/>
          <w:szCs w:val="22"/>
          <w:lang w:val="en-GB"/>
        </w:rPr>
        <w:t>se</w:t>
      </w:r>
      <w:r w:rsidRPr="009151C8">
        <w:rPr>
          <w:rFonts w:ascii="Calibri" w:hAnsi="Calibri" w:cs="Calibri"/>
          <w:sz w:val="22"/>
          <w:szCs w:val="22"/>
          <w:lang w:val="en-GB"/>
        </w:rPr>
        <w:t xml:space="preserve"> two questions “What is the student’s relationship to the technology?”</w:t>
      </w:r>
      <w:r>
        <w:rPr>
          <w:rFonts w:ascii="Calibri" w:hAnsi="Calibri" w:cs="Calibri"/>
          <w:sz w:val="22"/>
          <w:szCs w:val="22"/>
          <w:lang w:val="en-GB"/>
        </w:rPr>
        <w:t xml:space="preserve"> and </w:t>
      </w:r>
      <w:r w:rsidRPr="009151C8">
        <w:rPr>
          <w:rFonts w:ascii="Calibri" w:hAnsi="Calibri" w:cs="Calibri"/>
          <w:sz w:val="22"/>
          <w:szCs w:val="22"/>
          <w:lang w:val="en-GB"/>
        </w:rPr>
        <w:t>“How is the use of technology influencing the teacher’s existing practice?”</w:t>
      </w:r>
      <w:r>
        <w:rPr>
          <w:rFonts w:ascii="Calibri" w:hAnsi="Calibri" w:cs="Calibri"/>
          <w:sz w:val="22"/>
          <w:szCs w:val="22"/>
          <w:lang w:val="en-GB"/>
        </w:rPr>
        <w:t xml:space="preserve"> </w:t>
      </w:r>
      <w:r w:rsidRPr="009151C8">
        <w:rPr>
          <w:rFonts w:ascii="Calibri" w:hAnsi="Calibri" w:cs="Calibri"/>
          <w:sz w:val="22"/>
          <w:szCs w:val="22"/>
          <w:lang w:val="en-GB"/>
        </w:rPr>
        <w:t>are organized into a matrix. According to Kimmons et al, more active, more effective, and better-justified classroom technology practices generally occur at the top-right of the matrix</w:t>
      </w:r>
      <w:r w:rsidR="003D7601">
        <w:rPr>
          <w:rFonts w:ascii="Calibri" w:hAnsi="Calibri" w:cs="Calibri"/>
          <w:sz w:val="22"/>
          <w:szCs w:val="22"/>
          <w:lang w:val="en-GB"/>
        </w:rPr>
        <w:t xml:space="preserve"> (CT)</w:t>
      </w:r>
      <w:r w:rsidRPr="009151C8">
        <w:rPr>
          <w:rFonts w:ascii="Calibri" w:hAnsi="Calibri" w:cs="Calibri"/>
          <w:sz w:val="22"/>
          <w:szCs w:val="22"/>
          <w:lang w:val="en-GB"/>
        </w:rPr>
        <w:t>.</w:t>
      </w:r>
    </w:p>
    <w:p w14:paraId="74DB9D16" w14:textId="0B330940" w:rsidR="003D7601" w:rsidRDefault="003D7601" w:rsidP="001735EF">
      <w:pPr>
        <w:rPr>
          <w:rFonts w:ascii="Calibri" w:hAnsi="Calibri" w:cs="Calibri"/>
          <w:sz w:val="22"/>
          <w:szCs w:val="22"/>
          <w:lang w:val="en-GB"/>
        </w:rPr>
      </w:pPr>
      <w:r w:rsidRPr="009151C8">
        <w:rPr>
          <w:rFonts w:ascii="Calibri" w:hAnsi="Calibri" w:cs="Calibri"/>
          <w:noProof/>
          <w:sz w:val="22"/>
          <w:szCs w:val="22"/>
          <w:lang w:val="en-GB"/>
        </w:rPr>
        <w:lastRenderedPageBreak/>
        <w:drawing>
          <wp:inline distT="0" distB="0" distL="0" distR="0" wp14:anchorId="3FF6914D" wp14:editId="71310186">
            <wp:extent cx="5922793" cy="5286375"/>
            <wp:effectExtent l="0" t="0" r="1905" b="0"/>
            <wp:docPr id="265180722" name="Picture 1" descr="A diagram of a variety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68096" name="Picture 1" descr="A diagram of a variety of words&#10;&#10;AI-generated content may be incorrect."/>
                    <pic:cNvPicPr/>
                  </pic:nvPicPr>
                  <pic:blipFill>
                    <a:blip r:embed="rId5"/>
                    <a:stretch>
                      <a:fillRect/>
                    </a:stretch>
                  </pic:blipFill>
                  <pic:spPr>
                    <a:xfrm>
                      <a:off x="0" y="0"/>
                      <a:ext cx="5931627" cy="5294260"/>
                    </a:xfrm>
                    <a:prstGeom prst="rect">
                      <a:avLst/>
                    </a:prstGeom>
                  </pic:spPr>
                </pic:pic>
              </a:graphicData>
            </a:graphic>
          </wp:inline>
        </w:drawing>
      </w:r>
    </w:p>
    <w:p w14:paraId="2274FC14" w14:textId="77777777" w:rsidR="003D7601" w:rsidRPr="00EE1154" w:rsidRDefault="003D7601" w:rsidP="003D7601">
      <w:pPr>
        <w:rPr>
          <w:rFonts w:ascii="Calibri" w:hAnsi="Calibri" w:cs="Calibri"/>
          <w:sz w:val="22"/>
          <w:szCs w:val="22"/>
          <w:lang w:val="en-GB"/>
        </w:rPr>
      </w:pPr>
      <w:r>
        <w:t xml:space="preserve">REF: </w:t>
      </w:r>
      <w:hyperlink r:id="rId6" w:history="1">
        <w:r w:rsidRPr="006E640E">
          <w:rPr>
            <w:rStyle w:val="Hyperlink"/>
            <w:rFonts w:ascii="Calibri" w:hAnsi="Calibri" w:cs="Calibri"/>
            <w:sz w:val="22"/>
            <w:szCs w:val="22"/>
            <w:lang w:val="en-GB"/>
          </w:rPr>
          <w:t>https://edtechbooks.org/encyclopedia/picrat</w:t>
        </w:r>
      </w:hyperlink>
      <w:r w:rsidRPr="009151C8">
        <w:rPr>
          <w:rFonts w:ascii="Calibri" w:hAnsi="Calibri" w:cs="Calibri"/>
          <w:sz w:val="22"/>
          <w:szCs w:val="22"/>
          <w:lang w:val="en-GB"/>
        </w:rPr>
        <w:t xml:space="preserve"> </w:t>
      </w:r>
    </w:p>
    <w:p w14:paraId="341211FD" w14:textId="0FBE5A4A" w:rsidR="003D7601" w:rsidRPr="003D7601" w:rsidRDefault="003D7601" w:rsidP="003D7601">
      <w:pPr>
        <w:rPr>
          <w:rFonts w:ascii="Calibri" w:hAnsi="Calibri" w:cs="Calibri"/>
          <w:sz w:val="22"/>
          <w:szCs w:val="22"/>
          <w:lang w:val="en-GB"/>
        </w:rPr>
      </w:pPr>
      <w:r>
        <w:rPr>
          <w:rFonts w:ascii="Calibri" w:hAnsi="Calibri" w:cs="Calibri"/>
          <w:sz w:val="22"/>
          <w:szCs w:val="22"/>
          <w:lang w:val="en-GB"/>
        </w:rPr>
        <w:t xml:space="preserve">The same sample activities used when introducing the SAMR model have been slotted into the PICRAT matrix </w:t>
      </w:r>
      <w:r>
        <w:rPr>
          <w:rFonts w:ascii="Calibri" w:hAnsi="Calibri" w:cs="Calibri"/>
          <w:sz w:val="22"/>
          <w:szCs w:val="22"/>
          <w:lang w:val="en-GB"/>
        </w:rPr>
        <w:t xml:space="preserve">below </w:t>
      </w:r>
      <w:r>
        <w:rPr>
          <w:rFonts w:ascii="Calibri" w:hAnsi="Calibri" w:cs="Calibri"/>
          <w:sz w:val="22"/>
          <w:szCs w:val="22"/>
          <w:lang w:val="en-GB"/>
        </w:rPr>
        <w:t xml:space="preserve">to help compare the models. All four examples can be classed as interactive. One activity is just a replacement of the original activity, but two of the activities amplify the practice, that is they increase the efficiency, productivity and effectiveness of the original activity. Only one of the sample activities is transformative in nature, encouraging the students to engage in several levels of Bloom’s </w:t>
      </w:r>
      <w:r>
        <w:rPr>
          <w:rFonts w:ascii="Calibri" w:hAnsi="Calibri" w:cs="Calibri"/>
          <w:sz w:val="22"/>
          <w:szCs w:val="22"/>
          <w:lang w:val="en-GB"/>
        </w:rPr>
        <w:lastRenderedPageBreak/>
        <w:t>taxonomy such as remembering, understanding, applying, analysing and evaluating. It does not, however, prompt the s</w:t>
      </w:r>
      <w:r w:rsidRPr="0020022F">
        <w:rPr>
          <w:rFonts w:ascii="Calibri" w:hAnsi="Calibri" w:cs="Calibri"/>
          <w:sz w:val="22"/>
          <w:szCs w:val="22"/>
          <w:lang w:val="en-GB"/>
        </w:rPr>
        <w:t xml:space="preserve">tudents </w:t>
      </w:r>
      <w:r>
        <w:rPr>
          <w:rFonts w:ascii="Calibri" w:hAnsi="Calibri" w:cs="Calibri"/>
          <w:sz w:val="22"/>
          <w:szCs w:val="22"/>
          <w:lang w:val="en-GB"/>
        </w:rPr>
        <w:t xml:space="preserve">to </w:t>
      </w:r>
      <w:r w:rsidRPr="0020022F">
        <w:rPr>
          <w:rFonts w:ascii="Calibri" w:hAnsi="Calibri" w:cs="Calibri"/>
          <w:sz w:val="22"/>
          <w:szCs w:val="22"/>
          <w:lang w:val="en-GB"/>
        </w:rPr>
        <w:t>actively create something new using technology</w:t>
      </w:r>
      <w:r>
        <w:rPr>
          <w:rFonts w:ascii="Calibri" w:hAnsi="Calibri" w:cs="Calibri"/>
          <w:sz w:val="22"/>
          <w:szCs w:val="22"/>
          <w:lang w:val="en-GB"/>
        </w:rPr>
        <w:t xml:space="preserve"> so hasn’t reached the most desirable point in the matrix, Creative Transformation. </w:t>
      </w:r>
    </w:p>
    <w:tbl>
      <w:tblPr>
        <w:tblW w:w="15388" w:type="dxa"/>
        <w:shd w:val="clear" w:color="auto" w:fill="FFFFFF"/>
        <w:tblCellMar>
          <w:top w:w="15" w:type="dxa"/>
          <w:left w:w="15" w:type="dxa"/>
          <w:bottom w:w="15" w:type="dxa"/>
          <w:right w:w="15" w:type="dxa"/>
        </w:tblCellMar>
        <w:tblLook w:val="04A0" w:firstRow="1" w:lastRow="0" w:firstColumn="1" w:lastColumn="0" w:noHBand="0" w:noVBand="1"/>
      </w:tblPr>
      <w:tblGrid>
        <w:gridCol w:w="1840"/>
        <w:gridCol w:w="4394"/>
        <w:gridCol w:w="4536"/>
        <w:gridCol w:w="4618"/>
      </w:tblGrid>
      <w:tr w:rsidR="003D7601" w:rsidRPr="005F5152" w14:paraId="333E9DA7" w14:textId="77777777" w:rsidTr="003D7601">
        <w:trPr>
          <w:trHeight w:val="1809"/>
        </w:trPr>
        <w:tc>
          <w:tcPr>
            <w:tcW w:w="1840" w:type="dxa"/>
            <w:tcBorders>
              <w:top w:val="single" w:sz="2" w:space="0" w:color="auto"/>
              <w:left w:val="single" w:sz="2" w:space="0" w:color="auto"/>
              <w:bottom w:val="single" w:sz="6" w:space="0" w:color="auto"/>
              <w:right w:val="single" w:sz="2" w:space="0" w:color="auto"/>
            </w:tcBorders>
            <w:shd w:val="clear" w:color="auto" w:fill="FFFFFF"/>
            <w:hideMark/>
          </w:tcPr>
          <w:p w14:paraId="3448F326" w14:textId="77777777" w:rsidR="003D7601" w:rsidRPr="005F5152" w:rsidRDefault="003D7601" w:rsidP="00B00A0E">
            <w:pPr>
              <w:rPr>
                <w:rFonts w:ascii="Calibri" w:hAnsi="Calibri" w:cs="Calibri"/>
                <w:b/>
                <w:bCs/>
                <w:sz w:val="22"/>
                <w:szCs w:val="22"/>
              </w:rPr>
            </w:pPr>
            <w:r w:rsidRPr="005F5152">
              <w:rPr>
                <w:rFonts w:ascii="Calibri" w:hAnsi="Calibri" w:cs="Calibri"/>
                <w:b/>
                <w:bCs/>
                <w:sz w:val="22"/>
                <w:szCs w:val="22"/>
              </w:rPr>
              <w:t>Creative</w:t>
            </w:r>
          </w:p>
        </w:tc>
        <w:tc>
          <w:tcPr>
            <w:tcW w:w="4394" w:type="dxa"/>
            <w:tcBorders>
              <w:top w:val="single" w:sz="2" w:space="0" w:color="auto"/>
              <w:left w:val="single" w:sz="2" w:space="0" w:color="auto"/>
              <w:bottom w:val="single" w:sz="6" w:space="0" w:color="auto"/>
              <w:right w:val="single" w:sz="2" w:space="0" w:color="auto"/>
            </w:tcBorders>
            <w:shd w:val="clear" w:color="auto" w:fill="FF3300"/>
            <w:hideMark/>
          </w:tcPr>
          <w:p w14:paraId="6DA4C348" w14:textId="77777777" w:rsidR="003D7601" w:rsidRPr="003D7601" w:rsidRDefault="003D7601" w:rsidP="00B00A0E">
            <w:pPr>
              <w:rPr>
                <w:rFonts w:ascii="Calibri" w:hAnsi="Calibri" w:cs="Calibri"/>
                <w:b/>
                <w:bCs/>
                <w:sz w:val="22"/>
                <w:szCs w:val="22"/>
              </w:rPr>
            </w:pPr>
            <w:r w:rsidRPr="003D7601">
              <w:rPr>
                <w:rFonts w:ascii="Calibri" w:hAnsi="Calibri" w:cs="Calibri"/>
                <w:b/>
                <w:bCs/>
                <w:sz w:val="22"/>
                <w:szCs w:val="22"/>
              </w:rPr>
              <w:t>CR</w:t>
            </w:r>
          </w:p>
        </w:tc>
        <w:tc>
          <w:tcPr>
            <w:tcW w:w="4536" w:type="dxa"/>
            <w:tcBorders>
              <w:top w:val="single" w:sz="2" w:space="0" w:color="auto"/>
              <w:left w:val="single" w:sz="2" w:space="0" w:color="auto"/>
              <w:bottom w:val="single" w:sz="6" w:space="0" w:color="auto"/>
              <w:right w:val="single" w:sz="2" w:space="0" w:color="auto"/>
            </w:tcBorders>
            <w:shd w:val="clear" w:color="auto" w:fill="FF3300"/>
            <w:hideMark/>
          </w:tcPr>
          <w:p w14:paraId="64E49020" w14:textId="77777777" w:rsidR="003D7601" w:rsidRPr="003D7601" w:rsidRDefault="003D7601" w:rsidP="00B00A0E">
            <w:pPr>
              <w:rPr>
                <w:rFonts w:ascii="Calibri" w:hAnsi="Calibri" w:cs="Calibri"/>
                <w:b/>
                <w:bCs/>
                <w:sz w:val="22"/>
                <w:szCs w:val="22"/>
              </w:rPr>
            </w:pPr>
            <w:r w:rsidRPr="003D7601">
              <w:rPr>
                <w:rFonts w:ascii="Calibri" w:hAnsi="Calibri" w:cs="Calibri"/>
                <w:b/>
                <w:bCs/>
                <w:sz w:val="22"/>
                <w:szCs w:val="22"/>
              </w:rPr>
              <w:t>CI</w:t>
            </w:r>
          </w:p>
        </w:tc>
        <w:tc>
          <w:tcPr>
            <w:tcW w:w="4618" w:type="dxa"/>
            <w:tcBorders>
              <w:top w:val="single" w:sz="2" w:space="0" w:color="auto"/>
              <w:left w:val="single" w:sz="2" w:space="0" w:color="auto"/>
              <w:bottom w:val="single" w:sz="6" w:space="0" w:color="auto"/>
              <w:right w:val="single" w:sz="2" w:space="0" w:color="auto"/>
            </w:tcBorders>
            <w:shd w:val="clear" w:color="auto" w:fill="FF3300"/>
            <w:hideMark/>
          </w:tcPr>
          <w:p w14:paraId="2F79F5EA" w14:textId="77777777" w:rsidR="003D7601" w:rsidRPr="003D7601" w:rsidRDefault="003D7601" w:rsidP="00B00A0E">
            <w:pPr>
              <w:rPr>
                <w:rFonts w:ascii="Calibri" w:hAnsi="Calibri" w:cs="Calibri"/>
                <w:b/>
                <w:bCs/>
                <w:sz w:val="22"/>
                <w:szCs w:val="22"/>
              </w:rPr>
            </w:pPr>
            <w:r w:rsidRPr="003D7601">
              <w:rPr>
                <w:rFonts w:ascii="Calibri" w:hAnsi="Calibri" w:cs="Calibri"/>
                <w:b/>
                <w:bCs/>
                <w:sz w:val="22"/>
                <w:szCs w:val="22"/>
              </w:rPr>
              <w:t>CT</w:t>
            </w:r>
          </w:p>
          <w:p w14:paraId="74DBE720" w14:textId="77777777" w:rsidR="003D7601" w:rsidRPr="003D7601" w:rsidRDefault="003D7601" w:rsidP="00B00A0E">
            <w:pPr>
              <w:rPr>
                <w:rFonts w:ascii="Calibri" w:hAnsi="Calibri" w:cs="Calibri"/>
                <w:b/>
                <w:bCs/>
                <w:sz w:val="22"/>
                <w:szCs w:val="22"/>
              </w:rPr>
            </w:pPr>
          </w:p>
        </w:tc>
      </w:tr>
      <w:tr w:rsidR="003D7601" w:rsidRPr="005F5152" w14:paraId="48B27354" w14:textId="77777777" w:rsidTr="003D7601">
        <w:trPr>
          <w:trHeight w:val="1809"/>
        </w:trPr>
        <w:tc>
          <w:tcPr>
            <w:tcW w:w="1840" w:type="dxa"/>
            <w:tcBorders>
              <w:top w:val="single" w:sz="2" w:space="0" w:color="auto"/>
              <w:left w:val="single" w:sz="2" w:space="0" w:color="auto"/>
              <w:bottom w:val="single" w:sz="6" w:space="0" w:color="auto"/>
              <w:right w:val="single" w:sz="2" w:space="0" w:color="auto"/>
            </w:tcBorders>
            <w:shd w:val="clear" w:color="auto" w:fill="FFFFFF"/>
            <w:hideMark/>
          </w:tcPr>
          <w:p w14:paraId="0432E038" w14:textId="77777777" w:rsidR="003D7601" w:rsidRPr="005F5152" w:rsidRDefault="003D7601" w:rsidP="00B00A0E">
            <w:pPr>
              <w:rPr>
                <w:rFonts w:ascii="Calibri" w:hAnsi="Calibri" w:cs="Calibri"/>
                <w:b/>
                <w:bCs/>
                <w:sz w:val="22"/>
                <w:szCs w:val="22"/>
              </w:rPr>
            </w:pPr>
            <w:r w:rsidRPr="005F5152">
              <w:rPr>
                <w:rFonts w:ascii="Calibri" w:hAnsi="Calibri" w:cs="Calibri"/>
                <w:b/>
                <w:bCs/>
                <w:sz w:val="22"/>
                <w:szCs w:val="22"/>
              </w:rPr>
              <w:t>Interactive</w:t>
            </w:r>
          </w:p>
        </w:tc>
        <w:tc>
          <w:tcPr>
            <w:tcW w:w="4394" w:type="dxa"/>
            <w:tcBorders>
              <w:top w:val="single" w:sz="2" w:space="0" w:color="auto"/>
              <w:left w:val="single" w:sz="2" w:space="0" w:color="auto"/>
              <w:bottom w:val="single" w:sz="6" w:space="0" w:color="auto"/>
              <w:right w:val="single" w:sz="2" w:space="0" w:color="auto"/>
            </w:tcBorders>
            <w:shd w:val="clear" w:color="auto" w:fill="FF9933"/>
            <w:hideMark/>
          </w:tcPr>
          <w:p w14:paraId="2ED081F0" w14:textId="77777777" w:rsidR="003D7601" w:rsidRPr="003D7601" w:rsidRDefault="003D7601" w:rsidP="00B00A0E">
            <w:pPr>
              <w:rPr>
                <w:rFonts w:ascii="Calibri" w:hAnsi="Calibri" w:cs="Calibri"/>
                <w:b/>
                <w:bCs/>
                <w:sz w:val="22"/>
                <w:szCs w:val="22"/>
              </w:rPr>
            </w:pPr>
            <w:r w:rsidRPr="003D7601">
              <w:rPr>
                <w:rFonts w:ascii="Calibri" w:hAnsi="Calibri" w:cs="Calibri"/>
                <w:b/>
                <w:bCs/>
                <w:sz w:val="22"/>
                <w:szCs w:val="22"/>
              </w:rPr>
              <w:t>IR</w:t>
            </w:r>
          </w:p>
          <w:p w14:paraId="10159381" w14:textId="77777777" w:rsidR="003D7601" w:rsidRDefault="003D7601" w:rsidP="00B00A0E">
            <w:pPr>
              <w:rPr>
                <w:rFonts w:ascii="Calibri" w:hAnsi="Calibri" w:cs="Calibri"/>
                <w:sz w:val="22"/>
                <w:szCs w:val="22"/>
              </w:rPr>
            </w:pPr>
            <w:r>
              <w:rPr>
                <w:rFonts w:ascii="Calibri" w:hAnsi="Calibri" w:cs="Calibri"/>
                <w:sz w:val="22"/>
                <w:szCs w:val="22"/>
              </w:rPr>
              <w:br/>
            </w:r>
            <w:r w:rsidRPr="009151C8">
              <w:rPr>
                <w:rFonts w:ascii="Calibri" w:hAnsi="Calibri" w:cs="Calibri"/>
                <w:sz w:val="22"/>
                <w:szCs w:val="22"/>
                <w:lang w:val="en-GB"/>
              </w:rPr>
              <w:t xml:space="preserve">Instead of having students give a show of hands in class in response to a yes/no or </w:t>
            </w:r>
            <w:proofErr w:type="gramStart"/>
            <w:r w:rsidRPr="009151C8">
              <w:rPr>
                <w:rFonts w:ascii="Calibri" w:hAnsi="Calibri" w:cs="Calibri"/>
                <w:sz w:val="22"/>
                <w:szCs w:val="22"/>
                <w:lang w:val="en-GB"/>
              </w:rPr>
              <w:t>multiple choice</w:t>
            </w:r>
            <w:proofErr w:type="gramEnd"/>
            <w:r w:rsidRPr="009151C8">
              <w:rPr>
                <w:rFonts w:ascii="Calibri" w:hAnsi="Calibri" w:cs="Calibri"/>
                <w:sz w:val="22"/>
                <w:szCs w:val="22"/>
                <w:lang w:val="en-GB"/>
              </w:rPr>
              <w:t xml:space="preserve"> type question, the polling tool is used instead to gather this data.</w:t>
            </w:r>
          </w:p>
          <w:p w14:paraId="26C881FF" w14:textId="77777777" w:rsidR="003D7601" w:rsidRPr="005F5152" w:rsidRDefault="003D7601" w:rsidP="00B00A0E">
            <w:pPr>
              <w:rPr>
                <w:rFonts w:ascii="Calibri" w:hAnsi="Calibri" w:cs="Calibri"/>
                <w:sz w:val="22"/>
                <w:szCs w:val="22"/>
              </w:rPr>
            </w:pPr>
          </w:p>
        </w:tc>
        <w:tc>
          <w:tcPr>
            <w:tcW w:w="4536" w:type="dxa"/>
            <w:tcBorders>
              <w:top w:val="single" w:sz="2" w:space="0" w:color="auto"/>
              <w:left w:val="single" w:sz="2" w:space="0" w:color="auto"/>
              <w:bottom w:val="single" w:sz="6" w:space="0" w:color="auto"/>
              <w:right w:val="single" w:sz="2" w:space="0" w:color="auto"/>
            </w:tcBorders>
            <w:shd w:val="clear" w:color="auto" w:fill="FF9933"/>
            <w:hideMark/>
          </w:tcPr>
          <w:p w14:paraId="4ACD31F5" w14:textId="4EBF2C80" w:rsidR="003D7601" w:rsidRPr="003D7601" w:rsidRDefault="003D7601" w:rsidP="00B00A0E">
            <w:pPr>
              <w:rPr>
                <w:rFonts w:ascii="Calibri" w:hAnsi="Calibri" w:cs="Calibri"/>
                <w:b/>
                <w:bCs/>
                <w:sz w:val="22"/>
                <w:szCs w:val="22"/>
              </w:rPr>
            </w:pPr>
            <w:r w:rsidRPr="003D7601">
              <w:rPr>
                <w:rFonts w:ascii="Calibri" w:hAnsi="Calibri" w:cs="Calibri"/>
                <w:b/>
                <w:bCs/>
                <w:sz w:val="22"/>
                <w:szCs w:val="22"/>
              </w:rPr>
              <w:t>IA</w:t>
            </w:r>
          </w:p>
          <w:p w14:paraId="3D0262F0" w14:textId="77777777" w:rsidR="003D7601" w:rsidRDefault="003D7601" w:rsidP="00B00A0E">
            <w:pPr>
              <w:rPr>
                <w:rFonts w:ascii="Calibri" w:hAnsi="Calibri" w:cs="Calibri"/>
                <w:sz w:val="22"/>
                <w:szCs w:val="22"/>
                <w:lang w:val="en-GB"/>
              </w:rPr>
            </w:pPr>
            <w:r w:rsidRPr="009151C8">
              <w:rPr>
                <w:rFonts w:ascii="Calibri" w:hAnsi="Calibri" w:cs="Calibri"/>
                <w:sz w:val="22"/>
                <w:szCs w:val="22"/>
                <w:lang w:val="en-GB"/>
              </w:rPr>
              <w:t xml:space="preserve">Instead of issuing a paper-based quiz, it is facilitated instead via the quiz function in the polling tool. Feedback explaining the correct answer is provided.  </w:t>
            </w:r>
          </w:p>
          <w:p w14:paraId="1F9A7059" w14:textId="77777777" w:rsidR="003D7601" w:rsidRDefault="003D7601" w:rsidP="00B00A0E">
            <w:pPr>
              <w:rPr>
                <w:rFonts w:ascii="Calibri" w:hAnsi="Calibri" w:cs="Calibri"/>
                <w:sz w:val="22"/>
                <w:szCs w:val="22"/>
                <w:lang w:val="en-GB"/>
              </w:rPr>
            </w:pPr>
          </w:p>
          <w:p w14:paraId="02D4D409" w14:textId="77777777" w:rsidR="003D7601" w:rsidRPr="009151C8" w:rsidRDefault="003D7601" w:rsidP="00B00A0E">
            <w:pPr>
              <w:rPr>
                <w:rFonts w:ascii="Calibri" w:hAnsi="Calibri" w:cs="Calibri"/>
                <w:sz w:val="22"/>
                <w:szCs w:val="22"/>
                <w:lang w:val="en-GB"/>
              </w:rPr>
            </w:pPr>
            <w:r w:rsidRPr="009151C8">
              <w:rPr>
                <w:rFonts w:ascii="Calibri" w:hAnsi="Calibri" w:cs="Calibri"/>
                <w:sz w:val="22"/>
                <w:szCs w:val="22"/>
                <w:lang w:val="en-GB"/>
              </w:rPr>
              <w:t>Instead of holding a class discussion where students raise their hands to offer their opinion, anonymous opinion type questions are posed instead via the polling tool. The responses will drive the discussion afterwards.</w:t>
            </w:r>
          </w:p>
          <w:p w14:paraId="39D71E9C" w14:textId="77777777" w:rsidR="003D7601" w:rsidRPr="005F5152" w:rsidRDefault="003D7601" w:rsidP="00B00A0E">
            <w:pPr>
              <w:rPr>
                <w:rFonts w:ascii="Calibri" w:hAnsi="Calibri" w:cs="Calibri"/>
                <w:sz w:val="22"/>
                <w:szCs w:val="22"/>
              </w:rPr>
            </w:pPr>
          </w:p>
        </w:tc>
        <w:tc>
          <w:tcPr>
            <w:tcW w:w="4618" w:type="dxa"/>
            <w:tcBorders>
              <w:top w:val="single" w:sz="2" w:space="0" w:color="auto"/>
              <w:left w:val="single" w:sz="2" w:space="0" w:color="auto"/>
              <w:bottom w:val="single" w:sz="6" w:space="0" w:color="auto"/>
              <w:right w:val="single" w:sz="2" w:space="0" w:color="auto"/>
            </w:tcBorders>
            <w:shd w:val="clear" w:color="auto" w:fill="FF9933"/>
            <w:hideMark/>
          </w:tcPr>
          <w:p w14:paraId="0CBE0924" w14:textId="77777777" w:rsidR="003D7601" w:rsidRPr="003D7601" w:rsidRDefault="003D7601" w:rsidP="00B00A0E">
            <w:pPr>
              <w:rPr>
                <w:rFonts w:ascii="Calibri" w:hAnsi="Calibri" w:cs="Calibri"/>
                <w:b/>
                <w:bCs/>
                <w:sz w:val="22"/>
                <w:szCs w:val="22"/>
              </w:rPr>
            </w:pPr>
            <w:r w:rsidRPr="003D7601">
              <w:rPr>
                <w:rFonts w:ascii="Calibri" w:hAnsi="Calibri" w:cs="Calibri"/>
                <w:b/>
                <w:bCs/>
                <w:sz w:val="22"/>
                <w:szCs w:val="22"/>
              </w:rPr>
              <w:t>IT</w:t>
            </w:r>
          </w:p>
          <w:p w14:paraId="7171529D" w14:textId="77777777" w:rsidR="003D7601" w:rsidRDefault="003D7601" w:rsidP="00B00A0E">
            <w:pPr>
              <w:rPr>
                <w:rFonts w:ascii="Calibri" w:hAnsi="Calibri" w:cs="Calibri"/>
                <w:sz w:val="22"/>
                <w:szCs w:val="22"/>
              </w:rPr>
            </w:pPr>
            <w:r w:rsidRPr="009151C8">
              <w:rPr>
                <w:rFonts w:ascii="Calibri" w:hAnsi="Calibri" w:cs="Calibri"/>
                <w:sz w:val="22"/>
                <w:szCs w:val="22"/>
                <w:lang w:val="en-GB"/>
              </w:rPr>
              <w:t xml:space="preserve">Instead of teaching a topic and then using the polling tool to test students’ understanding, the polling tool is used instead </w:t>
            </w:r>
            <w:r w:rsidRPr="009151C8">
              <w:rPr>
                <w:rFonts w:ascii="Calibri" w:hAnsi="Calibri" w:cs="Calibri"/>
                <w:sz w:val="22"/>
                <w:szCs w:val="22"/>
              </w:rPr>
              <w:t>to support a Question-Driven Instruction approach to learning which wouldn’t work without the kind of immediate feedback from your students that a student response system can provide.</w:t>
            </w:r>
          </w:p>
          <w:p w14:paraId="237B3524" w14:textId="77777777" w:rsidR="003D7601" w:rsidRPr="005F5152" w:rsidRDefault="003D7601" w:rsidP="00B00A0E">
            <w:pPr>
              <w:rPr>
                <w:rFonts w:ascii="Calibri" w:hAnsi="Calibri" w:cs="Calibri"/>
                <w:sz w:val="22"/>
                <w:szCs w:val="22"/>
              </w:rPr>
            </w:pPr>
          </w:p>
        </w:tc>
      </w:tr>
      <w:tr w:rsidR="003D7601" w:rsidRPr="005F5152" w14:paraId="175ED288" w14:textId="77777777" w:rsidTr="003D7601">
        <w:trPr>
          <w:trHeight w:val="1313"/>
        </w:trPr>
        <w:tc>
          <w:tcPr>
            <w:tcW w:w="1840" w:type="dxa"/>
            <w:tcBorders>
              <w:top w:val="single" w:sz="2" w:space="0" w:color="auto"/>
              <w:left w:val="single" w:sz="2" w:space="0" w:color="auto"/>
              <w:bottom w:val="single" w:sz="6" w:space="0" w:color="auto"/>
              <w:right w:val="single" w:sz="2" w:space="0" w:color="auto"/>
            </w:tcBorders>
            <w:shd w:val="clear" w:color="auto" w:fill="FFFFFF"/>
            <w:hideMark/>
          </w:tcPr>
          <w:p w14:paraId="00FF41C6" w14:textId="77777777" w:rsidR="003D7601" w:rsidRPr="005F5152" w:rsidRDefault="003D7601" w:rsidP="00B00A0E">
            <w:pPr>
              <w:rPr>
                <w:rFonts w:ascii="Calibri" w:hAnsi="Calibri" w:cs="Calibri"/>
                <w:b/>
                <w:bCs/>
                <w:sz w:val="22"/>
                <w:szCs w:val="22"/>
              </w:rPr>
            </w:pPr>
            <w:r w:rsidRPr="005F5152">
              <w:rPr>
                <w:rFonts w:ascii="Calibri" w:hAnsi="Calibri" w:cs="Calibri"/>
                <w:b/>
                <w:bCs/>
                <w:sz w:val="22"/>
                <w:szCs w:val="22"/>
              </w:rPr>
              <w:t>Passive</w:t>
            </w:r>
          </w:p>
        </w:tc>
        <w:tc>
          <w:tcPr>
            <w:tcW w:w="4394" w:type="dxa"/>
            <w:tcBorders>
              <w:top w:val="single" w:sz="2" w:space="0" w:color="auto"/>
              <w:left w:val="single" w:sz="2" w:space="0" w:color="auto"/>
              <w:bottom w:val="single" w:sz="6" w:space="0" w:color="auto"/>
              <w:right w:val="single" w:sz="2" w:space="0" w:color="auto"/>
            </w:tcBorders>
            <w:shd w:val="clear" w:color="auto" w:fill="FFFF66"/>
            <w:hideMark/>
          </w:tcPr>
          <w:p w14:paraId="5B8AFDC1" w14:textId="77777777" w:rsidR="003D7601" w:rsidRPr="003D7601" w:rsidRDefault="003D7601" w:rsidP="00B00A0E">
            <w:pPr>
              <w:rPr>
                <w:rFonts w:ascii="Calibri" w:hAnsi="Calibri" w:cs="Calibri"/>
                <w:b/>
                <w:bCs/>
                <w:sz w:val="22"/>
                <w:szCs w:val="22"/>
              </w:rPr>
            </w:pPr>
            <w:r w:rsidRPr="003D7601">
              <w:rPr>
                <w:rFonts w:ascii="Calibri" w:hAnsi="Calibri" w:cs="Calibri"/>
                <w:b/>
                <w:bCs/>
                <w:sz w:val="22"/>
                <w:szCs w:val="22"/>
              </w:rPr>
              <w:t>PR</w:t>
            </w:r>
          </w:p>
          <w:p w14:paraId="7E35B11F" w14:textId="77777777" w:rsidR="003D7601" w:rsidRPr="003D7601" w:rsidRDefault="003D7601" w:rsidP="00B00A0E">
            <w:pPr>
              <w:rPr>
                <w:rFonts w:ascii="Calibri" w:hAnsi="Calibri" w:cs="Calibri"/>
                <w:b/>
                <w:bCs/>
                <w:sz w:val="22"/>
                <w:szCs w:val="22"/>
              </w:rPr>
            </w:pPr>
          </w:p>
        </w:tc>
        <w:tc>
          <w:tcPr>
            <w:tcW w:w="4536" w:type="dxa"/>
            <w:tcBorders>
              <w:top w:val="single" w:sz="2" w:space="0" w:color="auto"/>
              <w:left w:val="single" w:sz="2" w:space="0" w:color="auto"/>
              <w:bottom w:val="single" w:sz="6" w:space="0" w:color="auto"/>
              <w:right w:val="single" w:sz="2" w:space="0" w:color="auto"/>
            </w:tcBorders>
            <w:shd w:val="clear" w:color="auto" w:fill="FFFF66"/>
            <w:hideMark/>
          </w:tcPr>
          <w:p w14:paraId="6CD90006" w14:textId="77777777" w:rsidR="003D7601" w:rsidRPr="003D7601" w:rsidRDefault="003D7601" w:rsidP="00B00A0E">
            <w:pPr>
              <w:rPr>
                <w:rFonts w:ascii="Calibri" w:hAnsi="Calibri" w:cs="Calibri"/>
                <w:b/>
                <w:bCs/>
                <w:sz w:val="22"/>
                <w:szCs w:val="22"/>
              </w:rPr>
            </w:pPr>
            <w:r w:rsidRPr="003D7601">
              <w:rPr>
                <w:rFonts w:ascii="Calibri" w:hAnsi="Calibri" w:cs="Calibri"/>
                <w:b/>
                <w:bCs/>
                <w:sz w:val="22"/>
                <w:szCs w:val="22"/>
              </w:rPr>
              <w:t>PA</w:t>
            </w:r>
          </w:p>
        </w:tc>
        <w:tc>
          <w:tcPr>
            <w:tcW w:w="4618" w:type="dxa"/>
            <w:tcBorders>
              <w:top w:val="single" w:sz="2" w:space="0" w:color="auto"/>
              <w:left w:val="single" w:sz="2" w:space="0" w:color="auto"/>
              <w:bottom w:val="single" w:sz="6" w:space="0" w:color="auto"/>
              <w:right w:val="single" w:sz="2" w:space="0" w:color="auto"/>
            </w:tcBorders>
            <w:shd w:val="clear" w:color="auto" w:fill="FFFF66"/>
            <w:hideMark/>
          </w:tcPr>
          <w:p w14:paraId="28BEA598" w14:textId="77777777" w:rsidR="003D7601" w:rsidRPr="003D7601" w:rsidRDefault="003D7601" w:rsidP="00B00A0E">
            <w:pPr>
              <w:rPr>
                <w:rFonts w:ascii="Calibri" w:hAnsi="Calibri" w:cs="Calibri"/>
                <w:b/>
                <w:bCs/>
                <w:sz w:val="22"/>
                <w:szCs w:val="22"/>
              </w:rPr>
            </w:pPr>
            <w:r w:rsidRPr="003D7601">
              <w:rPr>
                <w:rFonts w:ascii="Calibri" w:hAnsi="Calibri" w:cs="Calibri"/>
                <w:b/>
                <w:bCs/>
                <w:sz w:val="22"/>
                <w:szCs w:val="22"/>
              </w:rPr>
              <w:t>PT</w:t>
            </w:r>
          </w:p>
          <w:p w14:paraId="34E3847F" w14:textId="77777777" w:rsidR="003D7601" w:rsidRPr="003D7601" w:rsidRDefault="003D7601" w:rsidP="00B00A0E">
            <w:pPr>
              <w:rPr>
                <w:rFonts w:ascii="Calibri" w:hAnsi="Calibri" w:cs="Calibri"/>
                <w:b/>
                <w:bCs/>
                <w:sz w:val="22"/>
                <w:szCs w:val="22"/>
              </w:rPr>
            </w:pPr>
          </w:p>
        </w:tc>
      </w:tr>
      <w:tr w:rsidR="003D7601" w:rsidRPr="005F5152" w14:paraId="0CD79FC2" w14:textId="77777777" w:rsidTr="003D7601">
        <w:trPr>
          <w:trHeight w:val="768"/>
        </w:trPr>
        <w:tc>
          <w:tcPr>
            <w:tcW w:w="1840" w:type="dxa"/>
            <w:tcBorders>
              <w:top w:val="single" w:sz="2" w:space="0" w:color="auto"/>
              <w:left w:val="single" w:sz="2" w:space="0" w:color="auto"/>
              <w:bottom w:val="single" w:sz="6" w:space="0" w:color="auto"/>
              <w:right w:val="single" w:sz="2" w:space="0" w:color="auto"/>
            </w:tcBorders>
            <w:shd w:val="clear" w:color="auto" w:fill="FFFFFF"/>
            <w:hideMark/>
          </w:tcPr>
          <w:p w14:paraId="2BBF6F71" w14:textId="77777777" w:rsidR="003D7601" w:rsidRPr="005F5152" w:rsidRDefault="003D7601" w:rsidP="00B00A0E">
            <w:pPr>
              <w:rPr>
                <w:rFonts w:ascii="Calibri" w:hAnsi="Calibri" w:cs="Calibri"/>
                <w:sz w:val="22"/>
                <w:szCs w:val="22"/>
              </w:rPr>
            </w:pPr>
          </w:p>
        </w:tc>
        <w:tc>
          <w:tcPr>
            <w:tcW w:w="4394" w:type="dxa"/>
            <w:tcBorders>
              <w:top w:val="single" w:sz="2" w:space="0" w:color="auto"/>
              <w:left w:val="single" w:sz="2" w:space="0" w:color="auto"/>
              <w:bottom w:val="single" w:sz="6" w:space="0" w:color="auto"/>
              <w:right w:val="single" w:sz="2" w:space="0" w:color="auto"/>
            </w:tcBorders>
            <w:shd w:val="clear" w:color="auto" w:fill="FFFFFF"/>
            <w:hideMark/>
          </w:tcPr>
          <w:p w14:paraId="6A231931" w14:textId="77777777" w:rsidR="003D7601" w:rsidRPr="005F5152" w:rsidRDefault="003D7601" w:rsidP="00B00A0E">
            <w:pPr>
              <w:rPr>
                <w:rFonts w:ascii="Calibri" w:hAnsi="Calibri" w:cs="Calibri"/>
                <w:b/>
                <w:bCs/>
                <w:sz w:val="22"/>
                <w:szCs w:val="22"/>
              </w:rPr>
            </w:pPr>
            <w:r w:rsidRPr="005F5152">
              <w:rPr>
                <w:rFonts w:ascii="Calibri" w:hAnsi="Calibri" w:cs="Calibri"/>
                <w:b/>
                <w:bCs/>
                <w:sz w:val="22"/>
                <w:szCs w:val="22"/>
              </w:rPr>
              <w:t>Replacement</w:t>
            </w:r>
          </w:p>
        </w:tc>
        <w:tc>
          <w:tcPr>
            <w:tcW w:w="4536" w:type="dxa"/>
            <w:tcBorders>
              <w:top w:val="single" w:sz="2" w:space="0" w:color="auto"/>
              <w:left w:val="single" w:sz="2" w:space="0" w:color="auto"/>
              <w:bottom w:val="single" w:sz="6" w:space="0" w:color="auto"/>
              <w:right w:val="single" w:sz="2" w:space="0" w:color="auto"/>
            </w:tcBorders>
            <w:shd w:val="clear" w:color="auto" w:fill="FFFFFF"/>
            <w:hideMark/>
          </w:tcPr>
          <w:p w14:paraId="5F8A5027" w14:textId="77777777" w:rsidR="003D7601" w:rsidRPr="005F5152" w:rsidRDefault="003D7601" w:rsidP="00B00A0E">
            <w:pPr>
              <w:rPr>
                <w:rFonts w:ascii="Calibri" w:hAnsi="Calibri" w:cs="Calibri"/>
                <w:b/>
                <w:bCs/>
                <w:sz w:val="22"/>
                <w:szCs w:val="22"/>
              </w:rPr>
            </w:pPr>
            <w:r w:rsidRPr="005F5152">
              <w:rPr>
                <w:rFonts w:ascii="Calibri" w:hAnsi="Calibri" w:cs="Calibri"/>
                <w:b/>
                <w:bCs/>
                <w:sz w:val="22"/>
                <w:szCs w:val="22"/>
              </w:rPr>
              <w:t>Amplification</w:t>
            </w:r>
          </w:p>
        </w:tc>
        <w:tc>
          <w:tcPr>
            <w:tcW w:w="4618" w:type="dxa"/>
            <w:tcBorders>
              <w:top w:val="single" w:sz="2" w:space="0" w:color="auto"/>
              <w:left w:val="single" w:sz="2" w:space="0" w:color="auto"/>
              <w:bottom w:val="single" w:sz="6" w:space="0" w:color="auto"/>
              <w:right w:val="single" w:sz="2" w:space="0" w:color="auto"/>
            </w:tcBorders>
            <w:shd w:val="clear" w:color="auto" w:fill="FFFFFF"/>
            <w:hideMark/>
          </w:tcPr>
          <w:p w14:paraId="5831E2D3" w14:textId="77777777" w:rsidR="003D7601" w:rsidRPr="005F5152" w:rsidRDefault="003D7601" w:rsidP="00B00A0E">
            <w:pPr>
              <w:rPr>
                <w:rFonts w:ascii="Calibri" w:hAnsi="Calibri" w:cs="Calibri"/>
                <w:b/>
                <w:bCs/>
                <w:sz w:val="22"/>
                <w:szCs w:val="22"/>
              </w:rPr>
            </w:pPr>
            <w:r w:rsidRPr="005F5152">
              <w:rPr>
                <w:rFonts w:ascii="Calibri" w:hAnsi="Calibri" w:cs="Calibri"/>
                <w:b/>
                <w:bCs/>
                <w:sz w:val="22"/>
                <w:szCs w:val="22"/>
              </w:rPr>
              <w:t>Transformation</w:t>
            </w:r>
          </w:p>
        </w:tc>
      </w:tr>
    </w:tbl>
    <w:p w14:paraId="4718868E" w14:textId="77777777" w:rsidR="003D7601" w:rsidRDefault="003D7601" w:rsidP="003D7601">
      <w:pPr>
        <w:rPr>
          <w:rFonts w:ascii="Calibri" w:hAnsi="Calibri" w:cs="Calibri"/>
          <w:sz w:val="22"/>
          <w:szCs w:val="22"/>
        </w:rPr>
      </w:pPr>
    </w:p>
    <w:p w14:paraId="12EECE74" w14:textId="77777777" w:rsidR="003D7601" w:rsidRDefault="003D7601" w:rsidP="003D7601">
      <w:pPr>
        <w:rPr>
          <w:rFonts w:ascii="Calibri" w:hAnsi="Calibri" w:cs="Calibri"/>
          <w:sz w:val="22"/>
          <w:szCs w:val="22"/>
        </w:rPr>
      </w:pPr>
      <w:r w:rsidRPr="004C1ABC">
        <w:rPr>
          <w:rFonts w:ascii="Calibri" w:hAnsi="Calibri" w:cs="Calibri"/>
          <w:sz w:val="22"/>
          <w:szCs w:val="22"/>
        </w:rPr>
        <w:t xml:space="preserve">Kimmons, R., Draper, D., &amp; Backman, J. (2022). PICRAT: The PICRAT Technology Integration Model. </w:t>
      </w:r>
      <w:proofErr w:type="spellStart"/>
      <w:r w:rsidRPr="004C1ABC">
        <w:rPr>
          <w:rFonts w:ascii="Calibri" w:hAnsi="Calibri" w:cs="Calibri"/>
          <w:sz w:val="22"/>
          <w:szCs w:val="22"/>
        </w:rPr>
        <w:t>EdTechnica</w:t>
      </w:r>
      <w:proofErr w:type="spellEnd"/>
      <w:r w:rsidRPr="004C1ABC">
        <w:rPr>
          <w:rFonts w:ascii="Calibri" w:hAnsi="Calibri" w:cs="Calibri"/>
          <w:sz w:val="22"/>
          <w:szCs w:val="22"/>
        </w:rPr>
        <w:t xml:space="preserve">: The Open </w:t>
      </w:r>
      <w:proofErr w:type="spellStart"/>
      <w:r w:rsidRPr="004C1ABC">
        <w:rPr>
          <w:rFonts w:ascii="Calibri" w:hAnsi="Calibri" w:cs="Calibri"/>
          <w:sz w:val="22"/>
          <w:szCs w:val="22"/>
        </w:rPr>
        <w:t>Encyclopedia</w:t>
      </w:r>
      <w:proofErr w:type="spellEnd"/>
      <w:r w:rsidRPr="004C1ABC">
        <w:rPr>
          <w:rFonts w:ascii="Calibri" w:hAnsi="Calibri" w:cs="Calibri"/>
          <w:sz w:val="22"/>
          <w:szCs w:val="22"/>
        </w:rPr>
        <w:t xml:space="preserve"> of Educational Technology. </w:t>
      </w:r>
      <w:hyperlink r:id="rId7" w:history="1">
        <w:r w:rsidRPr="006E640E">
          <w:rPr>
            <w:rStyle w:val="Hyperlink"/>
            <w:rFonts w:ascii="Calibri" w:hAnsi="Calibri" w:cs="Calibri"/>
            <w:sz w:val="22"/>
            <w:szCs w:val="22"/>
          </w:rPr>
          <w:t>https://doi.org/10.59668/371.5895</w:t>
        </w:r>
      </w:hyperlink>
    </w:p>
    <w:p w14:paraId="3FB6EE3B" w14:textId="149A73AB" w:rsidR="001735EF" w:rsidRPr="003D7601" w:rsidRDefault="003D7601">
      <w:pPr>
        <w:rPr>
          <w:rFonts w:ascii="Calibri" w:hAnsi="Calibri" w:cs="Calibri"/>
          <w:sz w:val="22"/>
          <w:szCs w:val="22"/>
        </w:rPr>
      </w:pPr>
      <w:r w:rsidRPr="004C1ABC">
        <w:rPr>
          <w:rFonts w:ascii="Calibri" w:hAnsi="Calibri" w:cs="Calibri"/>
          <w:sz w:val="22"/>
          <w:szCs w:val="22"/>
        </w:rPr>
        <w:t xml:space="preserve">Read, M. F. (2022). RAT: The RAT Technology Integration Model. </w:t>
      </w:r>
      <w:proofErr w:type="spellStart"/>
      <w:r w:rsidRPr="004C1ABC">
        <w:rPr>
          <w:rFonts w:ascii="Calibri" w:hAnsi="Calibri" w:cs="Calibri"/>
          <w:sz w:val="22"/>
          <w:szCs w:val="22"/>
        </w:rPr>
        <w:t>EdTechnica</w:t>
      </w:r>
      <w:proofErr w:type="spellEnd"/>
      <w:r w:rsidRPr="004C1ABC">
        <w:rPr>
          <w:rFonts w:ascii="Calibri" w:hAnsi="Calibri" w:cs="Calibri"/>
          <w:sz w:val="22"/>
          <w:szCs w:val="22"/>
        </w:rPr>
        <w:t xml:space="preserve">: The Open </w:t>
      </w:r>
      <w:proofErr w:type="spellStart"/>
      <w:r w:rsidRPr="004C1ABC">
        <w:rPr>
          <w:rFonts w:ascii="Calibri" w:hAnsi="Calibri" w:cs="Calibri"/>
          <w:sz w:val="22"/>
          <w:szCs w:val="22"/>
        </w:rPr>
        <w:t>Encyclopedia</w:t>
      </w:r>
      <w:proofErr w:type="spellEnd"/>
      <w:r w:rsidRPr="004C1ABC">
        <w:rPr>
          <w:rFonts w:ascii="Calibri" w:hAnsi="Calibri" w:cs="Calibri"/>
          <w:sz w:val="22"/>
          <w:szCs w:val="22"/>
        </w:rPr>
        <w:t xml:space="preserve"> of Educational Technology. </w:t>
      </w:r>
      <w:hyperlink r:id="rId8" w:history="1">
        <w:r w:rsidRPr="006E640E">
          <w:rPr>
            <w:rStyle w:val="Hyperlink"/>
            <w:rFonts w:ascii="Calibri" w:hAnsi="Calibri" w:cs="Calibri"/>
            <w:sz w:val="22"/>
            <w:szCs w:val="22"/>
          </w:rPr>
          <w:t>https://doi.org/10.59668/371.7485</w:t>
        </w:r>
      </w:hyperlink>
      <w:r>
        <w:rPr>
          <w:rFonts w:ascii="Calibri" w:hAnsi="Calibri" w:cs="Calibri"/>
          <w:sz w:val="22"/>
          <w:szCs w:val="22"/>
        </w:rPr>
        <w:t xml:space="preserve"> </w:t>
      </w:r>
    </w:p>
    <w:sectPr w:rsidR="001735EF" w:rsidRPr="003D7601" w:rsidSect="003D760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6613"/>
    <w:multiLevelType w:val="hybridMultilevel"/>
    <w:tmpl w:val="D4EE4E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3584710"/>
    <w:multiLevelType w:val="hybridMultilevel"/>
    <w:tmpl w:val="17C4054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98221979">
    <w:abstractNumId w:val="1"/>
  </w:num>
  <w:num w:numId="2" w16cid:durableId="164273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F1"/>
    <w:rsid w:val="00034EEE"/>
    <w:rsid w:val="001735EF"/>
    <w:rsid w:val="003279A3"/>
    <w:rsid w:val="003D7601"/>
    <w:rsid w:val="00777FF1"/>
    <w:rsid w:val="008D73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DB8E"/>
  <w15:chartTrackingRefBased/>
  <w15:docId w15:val="{431EBA2D-E41D-4B13-9051-79E22DD8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FF1"/>
    <w:rPr>
      <w:rFonts w:eastAsiaTheme="majorEastAsia" w:cstheme="majorBidi"/>
      <w:color w:val="272727" w:themeColor="text1" w:themeTint="D8"/>
    </w:rPr>
  </w:style>
  <w:style w:type="paragraph" w:styleId="Title">
    <w:name w:val="Title"/>
    <w:basedOn w:val="Normal"/>
    <w:next w:val="Normal"/>
    <w:link w:val="TitleChar"/>
    <w:uiPriority w:val="10"/>
    <w:qFormat/>
    <w:rsid w:val="00777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FF1"/>
    <w:pPr>
      <w:spacing w:before="160"/>
      <w:jc w:val="center"/>
    </w:pPr>
    <w:rPr>
      <w:i/>
      <w:iCs/>
      <w:color w:val="404040" w:themeColor="text1" w:themeTint="BF"/>
    </w:rPr>
  </w:style>
  <w:style w:type="character" w:customStyle="1" w:styleId="QuoteChar">
    <w:name w:val="Quote Char"/>
    <w:basedOn w:val="DefaultParagraphFont"/>
    <w:link w:val="Quote"/>
    <w:uiPriority w:val="29"/>
    <w:rsid w:val="00777FF1"/>
    <w:rPr>
      <w:i/>
      <w:iCs/>
      <w:color w:val="404040" w:themeColor="text1" w:themeTint="BF"/>
    </w:rPr>
  </w:style>
  <w:style w:type="paragraph" w:styleId="ListParagraph">
    <w:name w:val="List Paragraph"/>
    <w:basedOn w:val="Normal"/>
    <w:uiPriority w:val="34"/>
    <w:qFormat/>
    <w:rsid w:val="00777FF1"/>
    <w:pPr>
      <w:ind w:left="720"/>
      <w:contextualSpacing/>
    </w:pPr>
  </w:style>
  <w:style w:type="character" w:styleId="IntenseEmphasis">
    <w:name w:val="Intense Emphasis"/>
    <w:basedOn w:val="DefaultParagraphFont"/>
    <w:uiPriority w:val="21"/>
    <w:qFormat/>
    <w:rsid w:val="00777FF1"/>
    <w:rPr>
      <w:i/>
      <w:iCs/>
      <w:color w:val="0F4761" w:themeColor="accent1" w:themeShade="BF"/>
    </w:rPr>
  </w:style>
  <w:style w:type="paragraph" w:styleId="IntenseQuote">
    <w:name w:val="Intense Quote"/>
    <w:basedOn w:val="Normal"/>
    <w:next w:val="Normal"/>
    <w:link w:val="IntenseQuoteChar"/>
    <w:uiPriority w:val="30"/>
    <w:qFormat/>
    <w:rsid w:val="00777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FF1"/>
    <w:rPr>
      <w:i/>
      <w:iCs/>
      <w:color w:val="0F4761" w:themeColor="accent1" w:themeShade="BF"/>
    </w:rPr>
  </w:style>
  <w:style w:type="character" w:styleId="IntenseReference">
    <w:name w:val="Intense Reference"/>
    <w:basedOn w:val="DefaultParagraphFont"/>
    <w:uiPriority w:val="32"/>
    <w:qFormat/>
    <w:rsid w:val="00777FF1"/>
    <w:rPr>
      <w:b/>
      <w:bCs/>
      <w:smallCaps/>
      <w:color w:val="0F4761" w:themeColor="accent1" w:themeShade="BF"/>
      <w:spacing w:val="5"/>
    </w:rPr>
  </w:style>
  <w:style w:type="character" w:styleId="Strong">
    <w:name w:val="Strong"/>
    <w:basedOn w:val="DefaultParagraphFont"/>
    <w:uiPriority w:val="22"/>
    <w:qFormat/>
    <w:rsid w:val="001735EF"/>
    <w:rPr>
      <w:b/>
      <w:bCs/>
    </w:rPr>
  </w:style>
  <w:style w:type="character" w:styleId="Hyperlink">
    <w:name w:val="Hyperlink"/>
    <w:basedOn w:val="DefaultParagraphFont"/>
    <w:uiPriority w:val="99"/>
    <w:unhideWhenUsed/>
    <w:rsid w:val="003D760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668/371.7485" TargetMode="External"/><Relationship Id="rId3" Type="http://schemas.openxmlformats.org/officeDocument/2006/relationships/settings" Target="settings.xml"/><Relationship Id="rId7" Type="http://schemas.openxmlformats.org/officeDocument/2006/relationships/hyperlink" Target="https://doi.org/10.59668/371.58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techbooks.org/encyclopedia/picra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Boylan</dc:creator>
  <cp:keywords/>
  <dc:description/>
  <cp:lastModifiedBy>Frances Boylan</cp:lastModifiedBy>
  <cp:revision>2</cp:revision>
  <dcterms:created xsi:type="dcterms:W3CDTF">2025-08-20T07:44:00Z</dcterms:created>
  <dcterms:modified xsi:type="dcterms:W3CDTF">2025-08-20T08:02:00Z</dcterms:modified>
</cp:coreProperties>
</file>