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031B" w14:textId="4AEEE7F9" w:rsidR="002E74DA" w:rsidRPr="002E74DA" w:rsidRDefault="002E74DA" w:rsidP="002E74DA">
      <w:pPr>
        <w:pStyle w:val="Heading1"/>
        <w:rPr>
          <w:lang w:val="en-GB"/>
        </w:rPr>
      </w:pPr>
      <w:r w:rsidRPr="002E74DA">
        <w:rPr>
          <w:lang w:val="en-GB"/>
        </w:rPr>
        <w:t>Introducing the SAMR Model</w:t>
      </w:r>
    </w:p>
    <w:p w14:paraId="7C1C4841" w14:textId="105ACBAF" w:rsidR="002E74DA" w:rsidRDefault="002E74DA">
      <w:pPr>
        <w:rPr>
          <w:rFonts w:ascii="Calibri" w:hAnsi="Calibri" w:cs="Calibri"/>
          <w:sz w:val="22"/>
          <w:szCs w:val="22"/>
          <w:lang w:val="en-GB"/>
        </w:rPr>
      </w:pPr>
      <w:r>
        <w:rPr>
          <w:rFonts w:ascii="Calibri" w:hAnsi="Calibri" w:cs="Calibri"/>
          <w:sz w:val="22"/>
          <w:szCs w:val="22"/>
          <w:lang w:val="en-GB"/>
        </w:rPr>
        <w:t>The model has 4 levels:</w:t>
      </w:r>
    </w:p>
    <w:p w14:paraId="4746405D" w14:textId="486E0B4E" w:rsidR="002E74DA" w:rsidRDefault="002E74DA" w:rsidP="002E74DA">
      <w:pPr>
        <w:pStyle w:val="ListParagraph"/>
        <w:numPr>
          <w:ilvl w:val="0"/>
          <w:numId w:val="1"/>
        </w:numPr>
        <w:rPr>
          <w:rFonts w:ascii="Calibri" w:hAnsi="Calibri" w:cs="Calibri"/>
          <w:sz w:val="22"/>
          <w:szCs w:val="22"/>
          <w:lang w:val="en-GB"/>
        </w:rPr>
      </w:pPr>
      <w:r w:rsidRPr="002E74DA">
        <w:rPr>
          <w:rFonts w:ascii="Calibri" w:hAnsi="Calibri" w:cs="Calibri"/>
          <w:sz w:val="22"/>
          <w:szCs w:val="22"/>
          <w:lang w:val="en-GB"/>
        </w:rPr>
        <w:t xml:space="preserve">Substitution: </w:t>
      </w:r>
      <w:r>
        <w:rPr>
          <w:rFonts w:ascii="Calibri" w:hAnsi="Calibri" w:cs="Calibri"/>
          <w:sz w:val="22"/>
          <w:szCs w:val="22"/>
          <w:lang w:val="en-GB"/>
        </w:rPr>
        <w:t>Tech acts as a direct tool substitute, with no functional change</w:t>
      </w:r>
    </w:p>
    <w:p w14:paraId="6C1011B6" w14:textId="7723A134" w:rsidR="002E74DA" w:rsidRDefault="002E74DA" w:rsidP="002E74DA">
      <w:pPr>
        <w:pStyle w:val="ListParagraph"/>
        <w:numPr>
          <w:ilvl w:val="0"/>
          <w:numId w:val="1"/>
        </w:numPr>
        <w:rPr>
          <w:rFonts w:ascii="Calibri" w:hAnsi="Calibri" w:cs="Calibri"/>
          <w:sz w:val="22"/>
          <w:szCs w:val="22"/>
          <w:lang w:val="en-GB"/>
        </w:rPr>
      </w:pPr>
      <w:r>
        <w:rPr>
          <w:rFonts w:ascii="Calibri" w:hAnsi="Calibri" w:cs="Calibri"/>
          <w:sz w:val="22"/>
          <w:szCs w:val="22"/>
          <w:lang w:val="en-GB"/>
        </w:rPr>
        <w:t>Augmentation: Tech acts as a direct tool substitute, with functional improvement</w:t>
      </w:r>
    </w:p>
    <w:p w14:paraId="7CC2330D" w14:textId="55907A6C" w:rsidR="002E74DA" w:rsidRDefault="002E74DA" w:rsidP="002E74DA">
      <w:pPr>
        <w:pStyle w:val="ListParagraph"/>
        <w:numPr>
          <w:ilvl w:val="0"/>
          <w:numId w:val="1"/>
        </w:numPr>
        <w:rPr>
          <w:rFonts w:ascii="Calibri" w:hAnsi="Calibri" w:cs="Calibri"/>
          <w:sz w:val="22"/>
          <w:szCs w:val="22"/>
          <w:lang w:val="en-GB"/>
        </w:rPr>
      </w:pPr>
      <w:r>
        <w:rPr>
          <w:rFonts w:ascii="Calibri" w:hAnsi="Calibri" w:cs="Calibri"/>
          <w:sz w:val="22"/>
          <w:szCs w:val="22"/>
          <w:lang w:val="en-GB"/>
        </w:rPr>
        <w:t>Modification: Tech allows for significant task redesign</w:t>
      </w:r>
    </w:p>
    <w:p w14:paraId="2387AD29" w14:textId="489F9CA1" w:rsidR="002E74DA" w:rsidRPr="002E74DA" w:rsidRDefault="002E74DA" w:rsidP="002E74DA">
      <w:pPr>
        <w:pStyle w:val="ListParagraph"/>
        <w:numPr>
          <w:ilvl w:val="0"/>
          <w:numId w:val="1"/>
        </w:numPr>
        <w:rPr>
          <w:rFonts w:ascii="Calibri" w:hAnsi="Calibri" w:cs="Calibri"/>
          <w:sz w:val="22"/>
          <w:szCs w:val="22"/>
          <w:lang w:val="en-GB"/>
        </w:rPr>
      </w:pPr>
      <w:r>
        <w:rPr>
          <w:rFonts w:ascii="Calibri" w:hAnsi="Calibri" w:cs="Calibri"/>
          <w:sz w:val="22"/>
          <w:szCs w:val="22"/>
          <w:lang w:val="en-GB"/>
        </w:rPr>
        <w:t>Redefinition: Tech allows for the creation of new tasks, previously inconceivable</w:t>
      </w:r>
    </w:p>
    <w:p w14:paraId="014B2AAD" w14:textId="0A4F2E31" w:rsidR="002E74DA" w:rsidRDefault="002E74DA">
      <w:pPr>
        <w:rPr>
          <w:rFonts w:ascii="Calibri" w:hAnsi="Calibri" w:cs="Calibri"/>
          <w:sz w:val="22"/>
          <w:szCs w:val="22"/>
          <w:lang w:val="en-GB"/>
        </w:rPr>
      </w:pPr>
      <w:r>
        <w:rPr>
          <w:rFonts w:ascii="Calibri" w:hAnsi="Calibri" w:cs="Calibri"/>
          <w:sz w:val="22"/>
          <w:szCs w:val="22"/>
          <w:lang w:val="en-GB"/>
        </w:rPr>
        <w:t>As you move from substitution to augmentation you are enhancing the student learning experience. Moving up to modification and redefinition you are transforming the student learning experience.</w:t>
      </w:r>
    </w:p>
    <w:p w14:paraId="4D3ECEA4" w14:textId="1005A99A" w:rsidR="002E74DA" w:rsidRDefault="002E74DA">
      <w:pPr>
        <w:rPr>
          <w:rFonts w:ascii="Calibri" w:hAnsi="Calibri" w:cs="Calibri"/>
          <w:sz w:val="22"/>
          <w:szCs w:val="22"/>
          <w:lang w:val="en-GB"/>
        </w:rPr>
      </w:pPr>
      <w:r>
        <w:rPr>
          <w:rFonts w:ascii="Calibri" w:hAnsi="Calibri" w:cs="Calibri"/>
          <w:sz w:val="22"/>
          <w:szCs w:val="22"/>
          <w:lang w:val="en-GB"/>
        </w:rPr>
        <w:t xml:space="preserve">What’s the goal? To transform the student learning experience </w:t>
      </w:r>
      <w:proofErr w:type="gramStart"/>
      <w:r>
        <w:rPr>
          <w:rFonts w:ascii="Calibri" w:hAnsi="Calibri" w:cs="Calibri"/>
          <w:sz w:val="22"/>
          <w:szCs w:val="22"/>
          <w:lang w:val="en-GB"/>
        </w:rPr>
        <w:t>so as to</w:t>
      </w:r>
      <w:proofErr w:type="gramEnd"/>
      <w:r>
        <w:rPr>
          <w:rFonts w:ascii="Calibri" w:hAnsi="Calibri" w:cs="Calibri"/>
          <w:sz w:val="22"/>
          <w:szCs w:val="22"/>
          <w:lang w:val="en-GB"/>
        </w:rPr>
        <w:t xml:space="preserve"> build a deeper understanding of the content. </w:t>
      </w:r>
    </w:p>
    <w:p w14:paraId="22835E63" w14:textId="6B420FA9" w:rsidR="002E74DA" w:rsidRDefault="002E74DA">
      <w:pPr>
        <w:rPr>
          <w:rFonts w:ascii="Calibri" w:hAnsi="Calibri" w:cs="Calibri"/>
          <w:sz w:val="22"/>
          <w:szCs w:val="22"/>
          <w:lang w:val="en-GB"/>
        </w:rPr>
      </w:pPr>
      <w:r>
        <w:rPr>
          <w:rFonts w:ascii="Calibri" w:hAnsi="Calibri" w:cs="Calibri"/>
          <w:sz w:val="22"/>
          <w:szCs w:val="22"/>
          <w:lang w:val="en-GB"/>
        </w:rPr>
        <w:t>Consider these examples…</w:t>
      </w:r>
    </w:p>
    <w:p w14:paraId="66A66820" w14:textId="77777777" w:rsidR="002E74DA" w:rsidRDefault="002E74DA" w:rsidP="002E74DA">
      <w:pPr>
        <w:rPr>
          <w:rFonts w:ascii="Calibri" w:hAnsi="Calibri" w:cs="Calibri"/>
          <w:sz w:val="22"/>
          <w:szCs w:val="22"/>
          <w:lang w:val="en-GB"/>
        </w:rPr>
      </w:pPr>
      <w:r w:rsidRPr="002E74DA">
        <w:rPr>
          <w:rStyle w:val="Strong"/>
        </w:rPr>
        <w:t>Substitution:</w:t>
      </w:r>
      <w:r>
        <w:rPr>
          <w:rFonts w:ascii="Calibri" w:hAnsi="Calibri" w:cs="Calibri"/>
          <w:sz w:val="22"/>
          <w:szCs w:val="22"/>
          <w:lang w:val="en-GB"/>
        </w:rPr>
        <w:t xml:space="preserve"> </w:t>
      </w:r>
      <w:r w:rsidRPr="00787225">
        <w:rPr>
          <w:rFonts w:ascii="Calibri" w:hAnsi="Calibri" w:cs="Calibri"/>
          <w:sz w:val="22"/>
          <w:szCs w:val="22"/>
          <w:lang w:val="en-GB"/>
        </w:rPr>
        <w:t xml:space="preserve">Instead of having students give a show of hands in class in response to a true/false type question based on content covered, the polling tool is used instead to gather this information. </w:t>
      </w:r>
    </w:p>
    <w:p w14:paraId="44D93D4F" w14:textId="76D50ED1" w:rsidR="002E74DA" w:rsidRDefault="002E74DA" w:rsidP="002E74DA">
      <w:pPr>
        <w:rPr>
          <w:rFonts w:ascii="Calibri" w:hAnsi="Calibri" w:cs="Calibri"/>
          <w:sz w:val="22"/>
          <w:szCs w:val="22"/>
          <w:lang w:val="en-GB"/>
        </w:rPr>
      </w:pPr>
      <w:r w:rsidRPr="00787225">
        <w:rPr>
          <w:rFonts w:ascii="Calibri" w:hAnsi="Calibri" w:cs="Calibri"/>
          <w:sz w:val="22"/>
          <w:szCs w:val="22"/>
          <w:lang w:val="en-GB"/>
        </w:rPr>
        <w:t xml:space="preserve">There has been no functional change in this activity. Hand raising has just been substituted with the polling tool. This activity sits at the substitution level of the SAMR model. </w:t>
      </w:r>
    </w:p>
    <w:p w14:paraId="5D11D63D" w14:textId="77777777" w:rsidR="002E74DA" w:rsidRDefault="002E74DA" w:rsidP="002E74DA">
      <w:pPr>
        <w:rPr>
          <w:rFonts w:ascii="Calibri" w:hAnsi="Calibri" w:cs="Calibri"/>
          <w:sz w:val="22"/>
          <w:szCs w:val="22"/>
          <w:lang w:val="en-GB"/>
        </w:rPr>
      </w:pPr>
      <w:r w:rsidRPr="00787225">
        <w:rPr>
          <w:rFonts w:ascii="Calibri" w:hAnsi="Calibri" w:cs="Calibri"/>
          <w:sz w:val="22"/>
          <w:szCs w:val="22"/>
          <w:lang w:val="en-GB"/>
        </w:rPr>
        <w:t>While learning technologies can be used to facilitate learning at different levels of Blooms taxonomy to create a transformative learning experience, this activity doesn’t engage the students in that way and is targeting the lower order skill, remembering.</w:t>
      </w:r>
    </w:p>
    <w:p w14:paraId="478C32DE" w14:textId="77777777" w:rsidR="002E74DA" w:rsidRPr="00787225" w:rsidRDefault="002E74DA" w:rsidP="002E74DA">
      <w:pPr>
        <w:rPr>
          <w:rFonts w:ascii="Calibri" w:hAnsi="Calibri" w:cs="Calibri"/>
          <w:sz w:val="22"/>
          <w:szCs w:val="22"/>
          <w:lang w:val="en-GB"/>
        </w:rPr>
      </w:pPr>
      <w:r w:rsidRPr="002E74DA">
        <w:rPr>
          <w:rStyle w:val="Strong"/>
        </w:rPr>
        <w:t>Augmentation:</w:t>
      </w:r>
      <w:r>
        <w:rPr>
          <w:rFonts w:ascii="Calibri" w:hAnsi="Calibri" w:cs="Calibri"/>
          <w:sz w:val="22"/>
          <w:szCs w:val="22"/>
          <w:lang w:val="en-GB"/>
        </w:rPr>
        <w:t xml:space="preserve"> </w:t>
      </w:r>
      <w:r w:rsidRPr="00787225">
        <w:rPr>
          <w:rFonts w:ascii="Calibri" w:hAnsi="Calibri" w:cs="Calibri"/>
          <w:sz w:val="22"/>
          <w:szCs w:val="22"/>
          <w:lang w:val="en-GB"/>
        </w:rPr>
        <w:t xml:space="preserve">Instead of issuing a paper-based quiz, the quiz is facilitated instead via the quiz function in the polling tool. Feedback explaining the correct answer is provided.  </w:t>
      </w:r>
    </w:p>
    <w:p w14:paraId="521A9502" w14:textId="0A2C7356" w:rsidR="002E74DA" w:rsidRDefault="002E74DA" w:rsidP="002E74DA">
      <w:pPr>
        <w:rPr>
          <w:rFonts w:ascii="Calibri" w:hAnsi="Calibri" w:cs="Calibri"/>
          <w:sz w:val="22"/>
          <w:szCs w:val="22"/>
          <w:lang w:val="en-GB"/>
        </w:rPr>
      </w:pPr>
      <w:r w:rsidRPr="00787225">
        <w:rPr>
          <w:rFonts w:ascii="Calibri" w:hAnsi="Calibri" w:cs="Calibri"/>
          <w:sz w:val="22"/>
          <w:szCs w:val="22"/>
          <w:lang w:val="en-GB"/>
        </w:rPr>
        <w:t xml:space="preserve">In this scenario, while the polling tool is being used to replace the paper-based quiz, there has been some functional improvement to the activity in that the students not only receive their results immediately, but they also receive valuable feedback. </w:t>
      </w:r>
    </w:p>
    <w:p w14:paraId="60D354E7" w14:textId="77777777" w:rsidR="002E74DA" w:rsidRDefault="002E74DA" w:rsidP="002E74DA">
      <w:pPr>
        <w:rPr>
          <w:rFonts w:ascii="Calibri" w:hAnsi="Calibri" w:cs="Calibri"/>
          <w:sz w:val="22"/>
          <w:szCs w:val="22"/>
          <w:lang w:val="en-GB"/>
        </w:rPr>
      </w:pPr>
      <w:proofErr w:type="gramStart"/>
      <w:r w:rsidRPr="00787225">
        <w:rPr>
          <w:rFonts w:ascii="Calibri" w:hAnsi="Calibri" w:cs="Calibri"/>
          <w:sz w:val="22"/>
          <w:szCs w:val="22"/>
          <w:lang w:val="en-GB"/>
        </w:rPr>
        <w:t>With regard to</w:t>
      </w:r>
      <w:proofErr w:type="gramEnd"/>
      <w:r w:rsidRPr="00787225">
        <w:rPr>
          <w:rFonts w:ascii="Calibri" w:hAnsi="Calibri" w:cs="Calibri"/>
          <w:sz w:val="22"/>
          <w:szCs w:val="22"/>
          <w:lang w:val="en-GB"/>
        </w:rPr>
        <w:t xml:space="preserve"> Bloom’s taxonomy, receiving immediate feedback reinforces the students’ understanding of the concept and it helps them apply concepts more accurately in future questions.</w:t>
      </w:r>
    </w:p>
    <w:p w14:paraId="795AC427" w14:textId="77777777" w:rsidR="002E74DA" w:rsidRPr="00787225" w:rsidRDefault="002E74DA" w:rsidP="002E74DA">
      <w:pPr>
        <w:rPr>
          <w:rFonts w:ascii="Calibri" w:hAnsi="Calibri" w:cs="Calibri"/>
          <w:sz w:val="22"/>
          <w:szCs w:val="22"/>
          <w:lang w:val="en-GB"/>
        </w:rPr>
      </w:pPr>
      <w:r w:rsidRPr="002E74DA">
        <w:rPr>
          <w:rStyle w:val="Strong"/>
        </w:rPr>
        <w:t>Modification:</w:t>
      </w:r>
      <w:r>
        <w:rPr>
          <w:rFonts w:ascii="Calibri" w:hAnsi="Calibri" w:cs="Calibri"/>
          <w:sz w:val="22"/>
          <w:szCs w:val="22"/>
          <w:lang w:val="en-GB"/>
        </w:rPr>
        <w:t xml:space="preserve"> </w:t>
      </w:r>
      <w:r w:rsidRPr="00787225">
        <w:rPr>
          <w:rFonts w:ascii="Calibri" w:hAnsi="Calibri" w:cs="Calibri"/>
          <w:sz w:val="22"/>
          <w:szCs w:val="22"/>
          <w:lang w:val="en-GB"/>
        </w:rPr>
        <w:t xml:space="preserve">Instead of holding a class discussion where students raise their hands to offer their opinion, anonymous opinion type questions are posed instead via the polling tool. The responses will drive the discussion afterwards. </w:t>
      </w:r>
    </w:p>
    <w:p w14:paraId="36D1E2FB" w14:textId="60332A1B" w:rsidR="002E74DA" w:rsidRDefault="002E74DA" w:rsidP="002E74DA">
      <w:pPr>
        <w:rPr>
          <w:rFonts w:ascii="Calibri" w:hAnsi="Calibri" w:cs="Calibri"/>
          <w:sz w:val="22"/>
          <w:szCs w:val="22"/>
          <w:lang w:val="en-GB"/>
        </w:rPr>
      </w:pPr>
      <w:r w:rsidRPr="00787225">
        <w:rPr>
          <w:rFonts w:ascii="Calibri" w:hAnsi="Calibri" w:cs="Calibri"/>
          <w:sz w:val="22"/>
          <w:szCs w:val="22"/>
          <w:lang w:val="en-GB"/>
        </w:rPr>
        <w:t>Integrating the polling tool into this activity in this way introduces anonymity into the equation which is more likely to result in more honest opinions being offered on the topic over students being required to raise their hands and speak in class. It also means that everyone offers their opinion before hearing the opinion of their classmates and so are not influenced at this stage yet by the opinion of others. And finally, it gives the opportunity for all students to offer their opinions and not just the few who are willing to raise their hands.</w:t>
      </w:r>
    </w:p>
    <w:p w14:paraId="2CFD7CCB" w14:textId="77777777" w:rsidR="002E74DA" w:rsidRDefault="002E74DA" w:rsidP="002E74DA">
      <w:pPr>
        <w:rPr>
          <w:rFonts w:ascii="Calibri" w:hAnsi="Calibri" w:cs="Calibri"/>
          <w:sz w:val="22"/>
          <w:szCs w:val="22"/>
          <w:lang w:val="en-GB"/>
        </w:rPr>
      </w:pPr>
      <w:proofErr w:type="gramStart"/>
      <w:r w:rsidRPr="00787225">
        <w:rPr>
          <w:rFonts w:ascii="Calibri" w:hAnsi="Calibri" w:cs="Calibri"/>
          <w:sz w:val="22"/>
          <w:szCs w:val="22"/>
          <w:lang w:val="en-GB"/>
        </w:rPr>
        <w:t>With regard to</w:t>
      </w:r>
      <w:proofErr w:type="gramEnd"/>
      <w:r w:rsidRPr="00787225">
        <w:rPr>
          <w:rFonts w:ascii="Calibri" w:hAnsi="Calibri" w:cs="Calibri"/>
          <w:sz w:val="22"/>
          <w:szCs w:val="22"/>
          <w:lang w:val="en-GB"/>
        </w:rPr>
        <w:t xml:space="preserve"> Bloom’s taxonomy, this activity prompts students to analyse some of the anonymous opinions examining patterns and comparing different viewpoints. It also pushes them to evaluate and critique the opinions shared and defend their own positions on the topic. This moves the students beyond basic recall to engaging in critical thinking. </w:t>
      </w:r>
    </w:p>
    <w:p w14:paraId="48A913DE" w14:textId="77777777" w:rsidR="002E74DA" w:rsidRDefault="002E74DA" w:rsidP="002E74DA">
      <w:pPr>
        <w:rPr>
          <w:rFonts w:ascii="Calibri" w:hAnsi="Calibri" w:cs="Calibri"/>
          <w:sz w:val="22"/>
          <w:szCs w:val="22"/>
        </w:rPr>
      </w:pPr>
      <w:r w:rsidRPr="002E74DA">
        <w:rPr>
          <w:rStyle w:val="Strong"/>
        </w:rPr>
        <w:t>Redefinition:</w:t>
      </w:r>
      <w:r>
        <w:rPr>
          <w:rFonts w:ascii="Calibri" w:hAnsi="Calibri" w:cs="Calibri"/>
          <w:sz w:val="22"/>
          <w:szCs w:val="22"/>
          <w:lang w:val="en-GB"/>
        </w:rPr>
        <w:t xml:space="preserve"> </w:t>
      </w:r>
      <w:r w:rsidRPr="00787225">
        <w:rPr>
          <w:rFonts w:ascii="Calibri" w:hAnsi="Calibri" w:cs="Calibri"/>
          <w:sz w:val="22"/>
          <w:szCs w:val="22"/>
          <w:lang w:val="en-GB"/>
        </w:rPr>
        <w:t xml:space="preserve">Instead of teaching a topic and then using the polling tool to test students’ understanding, the polling tool is used instead </w:t>
      </w:r>
      <w:r w:rsidRPr="00787225">
        <w:rPr>
          <w:rFonts w:ascii="Calibri" w:hAnsi="Calibri" w:cs="Calibri"/>
          <w:sz w:val="22"/>
          <w:szCs w:val="22"/>
        </w:rPr>
        <w:t xml:space="preserve">to support a Question-Driven Instruction approach to learning which wouldn’t work without the kind of immediate feedback from your students that a student response system can provide. </w:t>
      </w:r>
    </w:p>
    <w:p w14:paraId="428C8740" w14:textId="196BF89A" w:rsidR="002E74DA" w:rsidRPr="002E74DA" w:rsidRDefault="002E74DA" w:rsidP="002E74DA">
      <w:pPr>
        <w:rPr>
          <w:rFonts w:ascii="Calibri" w:hAnsi="Calibri" w:cs="Calibri"/>
          <w:sz w:val="22"/>
          <w:szCs w:val="22"/>
        </w:rPr>
      </w:pPr>
      <w:r w:rsidRPr="00787225">
        <w:rPr>
          <w:rFonts w:ascii="Calibri" w:hAnsi="Calibri" w:cs="Calibri"/>
          <w:sz w:val="22"/>
          <w:szCs w:val="22"/>
        </w:rPr>
        <w:lastRenderedPageBreak/>
        <w:t>Having posed a question on the topic in question, how you then approach dealing that topic is determined by the answers provided by your students and any ensuing discussion. You then pose further questions on that same topic and as the students begin to perform well, you move onto questions on other topics. If students perform badly on a topic, then further questions are pushed out on that same topic until they begin performing well again allowing you to move on once more. There isn’t a traditional lesson plan for these kinds of sessions, and you’ll never know which questions from your bank of questions that you’ll be using in class either, rather the course you take during the class is determined by the students alone and their immediate learning needs. The unpredictability of the session also keeps the students more engaged and actively involved as they direct the path of the lesson. The use of the polling tool in this way to drive and support the format for this class, transforms the learning experience for your students.</w:t>
      </w:r>
    </w:p>
    <w:p w14:paraId="242D7AD1" w14:textId="77777777" w:rsidR="002E74DA" w:rsidRPr="00787225" w:rsidRDefault="002E74DA" w:rsidP="002E74DA">
      <w:pPr>
        <w:rPr>
          <w:rFonts w:ascii="Calibri" w:hAnsi="Calibri" w:cs="Calibri"/>
          <w:sz w:val="22"/>
          <w:szCs w:val="22"/>
          <w:lang w:val="en-GB"/>
        </w:rPr>
      </w:pPr>
      <w:r w:rsidRPr="00787225">
        <w:rPr>
          <w:rFonts w:ascii="Calibri" w:hAnsi="Calibri" w:cs="Calibri"/>
          <w:sz w:val="22"/>
          <w:szCs w:val="22"/>
          <w:lang w:val="en-GB"/>
        </w:rPr>
        <w:t xml:space="preserve">This activity engages your students across many levels of Bloom’s taxonomy. Initially, when the first few questions are posed, they may be recalling basic facts but as the questions get more complex, they must demonstrate their understanding before applying their knowledge to new situations, analyse information to break it down into its component parts, and evaluate the value of information before justifying their responses. </w:t>
      </w:r>
    </w:p>
    <w:p w14:paraId="1EFE8BA8" w14:textId="605FB48A" w:rsidR="002E74DA" w:rsidRDefault="002E74DA" w:rsidP="002E74DA">
      <w:pPr>
        <w:rPr>
          <w:rFonts w:ascii="Calibri" w:hAnsi="Calibri" w:cs="Calibri"/>
          <w:sz w:val="22"/>
          <w:szCs w:val="22"/>
          <w:lang w:val="en-GB"/>
        </w:rPr>
      </w:pPr>
      <w:r>
        <w:rPr>
          <w:rFonts w:ascii="Calibri" w:hAnsi="Calibri" w:cs="Calibri"/>
          <w:sz w:val="22"/>
          <w:szCs w:val="22"/>
          <w:lang w:val="en-GB"/>
        </w:rPr>
        <w:t xml:space="preserve">How do I use the model? </w:t>
      </w:r>
    </w:p>
    <w:p w14:paraId="0F898019" w14:textId="3AD9944E" w:rsidR="002E74DA" w:rsidRDefault="002E74DA" w:rsidP="002E74DA">
      <w:pPr>
        <w:pStyle w:val="ListParagraph"/>
        <w:numPr>
          <w:ilvl w:val="0"/>
          <w:numId w:val="3"/>
        </w:numPr>
        <w:rPr>
          <w:rFonts w:ascii="Calibri" w:hAnsi="Calibri" w:cs="Calibri"/>
          <w:sz w:val="22"/>
          <w:szCs w:val="22"/>
          <w:lang w:val="en-GB"/>
        </w:rPr>
      </w:pPr>
      <w:r w:rsidRPr="002E74DA">
        <w:rPr>
          <w:rFonts w:ascii="Calibri" w:hAnsi="Calibri" w:cs="Calibri"/>
          <w:sz w:val="22"/>
          <w:szCs w:val="22"/>
          <w:lang w:val="en-GB"/>
        </w:rPr>
        <w:t>Begin by identifying your learning objectives. Pinpoint what you want your students to learn</w:t>
      </w:r>
    </w:p>
    <w:p w14:paraId="3761C461" w14:textId="77777777" w:rsidR="002E74DA" w:rsidRPr="002E74DA" w:rsidRDefault="002E74DA" w:rsidP="002E74DA">
      <w:pPr>
        <w:pStyle w:val="ListParagraph"/>
        <w:numPr>
          <w:ilvl w:val="0"/>
          <w:numId w:val="3"/>
        </w:numPr>
        <w:rPr>
          <w:rFonts w:ascii="Calibri" w:hAnsi="Calibri" w:cs="Calibri"/>
          <w:sz w:val="22"/>
          <w:szCs w:val="22"/>
          <w:lang w:val="en-GB"/>
        </w:rPr>
      </w:pPr>
      <w:r w:rsidRPr="002E74DA">
        <w:rPr>
          <w:rFonts w:ascii="Calibri" w:hAnsi="Calibri" w:cs="Calibri"/>
          <w:sz w:val="22"/>
          <w:szCs w:val="22"/>
          <w:lang w:val="en-GB"/>
        </w:rPr>
        <w:t>Assess the learning activity.  See where technology could be integrated to transformation the student learning experience</w:t>
      </w:r>
    </w:p>
    <w:p w14:paraId="2F348BEE" w14:textId="77777777" w:rsidR="002E74DA" w:rsidRPr="002E74DA" w:rsidRDefault="002E74DA" w:rsidP="002E74DA">
      <w:pPr>
        <w:pStyle w:val="ListParagraph"/>
        <w:numPr>
          <w:ilvl w:val="0"/>
          <w:numId w:val="3"/>
        </w:numPr>
        <w:rPr>
          <w:rFonts w:ascii="Calibri" w:hAnsi="Calibri" w:cs="Calibri"/>
          <w:sz w:val="22"/>
          <w:szCs w:val="22"/>
          <w:lang w:val="en-GB"/>
        </w:rPr>
      </w:pPr>
      <w:r w:rsidRPr="002E74DA">
        <w:rPr>
          <w:rFonts w:ascii="Calibri" w:hAnsi="Calibri" w:cs="Calibri"/>
          <w:sz w:val="22"/>
          <w:szCs w:val="22"/>
          <w:lang w:val="en-GB"/>
        </w:rPr>
        <w:t>Then choose the most appropriate technology that will deliver that learning experience</w:t>
      </w:r>
    </w:p>
    <w:p w14:paraId="5959941D" w14:textId="2D192D27" w:rsidR="002E74DA" w:rsidRPr="002E74DA" w:rsidRDefault="002E74DA" w:rsidP="002E74DA">
      <w:pPr>
        <w:pStyle w:val="ListParagraph"/>
        <w:numPr>
          <w:ilvl w:val="0"/>
          <w:numId w:val="3"/>
        </w:numPr>
        <w:rPr>
          <w:rFonts w:ascii="Calibri" w:hAnsi="Calibri" w:cs="Calibri"/>
          <w:sz w:val="22"/>
          <w:szCs w:val="22"/>
          <w:lang w:val="en-GB"/>
        </w:rPr>
      </w:pPr>
      <w:r w:rsidRPr="002E74DA">
        <w:rPr>
          <w:rFonts w:ascii="Calibri" w:hAnsi="Calibri" w:cs="Calibri"/>
          <w:sz w:val="22"/>
          <w:szCs w:val="22"/>
          <w:lang w:val="en-GB"/>
        </w:rPr>
        <w:t xml:space="preserve">And finally, reflect and adjust by getting feedback from your students and using that to inform improvements. </w:t>
      </w:r>
    </w:p>
    <w:p w14:paraId="7A4028AA" w14:textId="77777777" w:rsidR="002E74DA" w:rsidRPr="00787225" w:rsidRDefault="002E74DA" w:rsidP="002E74DA">
      <w:pPr>
        <w:rPr>
          <w:rFonts w:ascii="Calibri" w:hAnsi="Calibri" w:cs="Calibri"/>
          <w:sz w:val="22"/>
          <w:szCs w:val="22"/>
          <w:lang w:val="en-GB"/>
        </w:rPr>
      </w:pPr>
    </w:p>
    <w:p w14:paraId="5C9E56A3" w14:textId="1F077C0F" w:rsidR="00827E9B" w:rsidRPr="00787225" w:rsidRDefault="00827E9B">
      <w:pPr>
        <w:rPr>
          <w:rFonts w:ascii="Calibri" w:hAnsi="Calibri" w:cs="Calibri"/>
          <w:sz w:val="22"/>
          <w:szCs w:val="22"/>
          <w:lang w:val="en-GB"/>
        </w:rPr>
      </w:pPr>
    </w:p>
    <w:sectPr w:rsidR="00827E9B" w:rsidRPr="00787225" w:rsidSect="007C28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77A6"/>
    <w:multiLevelType w:val="hybridMultilevel"/>
    <w:tmpl w:val="43E06D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E9667F"/>
    <w:multiLevelType w:val="hybridMultilevel"/>
    <w:tmpl w:val="92D67E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0514DBD"/>
    <w:multiLevelType w:val="hybridMultilevel"/>
    <w:tmpl w:val="732CD6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91523128">
    <w:abstractNumId w:val="1"/>
  </w:num>
  <w:num w:numId="2" w16cid:durableId="1202092474">
    <w:abstractNumId w:val="0"/>
  </w:num>
  <w:num w:numId="3" w16cid:durableId="1050686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9B"/>
    <w:rsid w:val="00017547"/>
    <w:rsid w:val="00034EEE"/>
    <w:rsid w:val="00042034"/>
    <w:rsid w:val="002E74DA"/>
    <w:rsid w:val="00723C74"/>
    <w:rsid w:val="00787225"/>
    <w:rsid w:val="007B4C49"/>
    <w:rsid w:val="007C288A"/>
    <w:rsid w:val="007E4E13"/>
    <w:rsid w:val="00827E9B"/>
    <w:rsid w:val="008B3443"/>
    <w:rsid w:val="008D735F"/>
    <w:rsid w:val="00B51409"/>
    <w:rsid w:val="00CE679A"/>
    <w:rsid w:val="00DC46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73B7"/>
  <w15:chartTrackingRefBased/>
  <w15:docId w15:val="{09F13266-8DC0-4832-820C-A235AE1A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9B"/>
    <w:rPr>
      <w:rFonts w:eastAsiaTheme="majorEastAsia" w:cstheme="majorBidi"/>
      <w:color w:val="272727" w:themeColor="text1" w:themeTint="D8"/>
    </w:rPr>
  </w:style>
  <w:style w:type="paragraph" w:styleId="Title">
    <w:name w:val="Title"/>
    <w:basedOn w:val="Normal"/>
    <w:next w:val="Normal"/>
    <w:link w:val="TitleChar"/>
    <w:uiPriority w:val="10"/>
    <w:qFormat/>
    <w:rsid w:val="0082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9B"/>
    <w:pPr>
      <w:spacing w:before="160"/>
      <w:jc w:val="center"/>
    </w:pPr>
    <w:rPr>
      <w:i/>
      <w:iCs/>
      <w:color w:val="404040" w:themeColor="text1" w:themeTint="BF"/>
    </w:rPr>
  </w:style>
  <w:style w:type="character" w:customStyle="1" w:styleId="QuoteChar">
    <w:name w:val="Quote Char"/>
    <w:basedOn w:val="DefaultParagraphFont"/>
    <w:link w:val="Quote"/>
    <w:uiPriority w:val="29"/>
    <w:rsid w:val="00827E9B"/>
    <w:rPr>
      <w:i/>
      <w:iCs/>
      <w:color w:val="404040" w:themeColor="text1" w:themeTint="BF"/>
    </w:rPr>
  </w:style>
  <w:style w:type="paragraph" w:styleId="ListParagraph">
    <w:name w:val="List Paragraph"/>
    <w:basedOn w:val="Normal"/>
    <w:uiPriority w:val="34"/>
    <w:qFormat/>
    <w:rsid w:val="00827E9B"/>
    <w:pPr>
      <w:ind w:left="720"/>
      <w:contextualSpacing/>
    </w:pPr>
  </w:style>
  <w:style w:type="character" w:styleId="IntenseEmphasis">
    <w:name w:val="Intense Emphasis"/>
    <w:basedOn w:val="DefaultParagraphFont"/>
    <w:uiPriority w:val="21"/>
    <w:qFormat/>
    <w:rsid w:val="00827E9B"/>
    <w:rPr>
      <w:i/>
      <w:iCs/>
      <w:color w:val="0F4761" w:themeColor="accent1" w:themeShade="BF"/>
    </w:rPr>
  </w:style>
  <w:style w:type="paragraph" w:styleId="IntenseQuote">
    <w:name w:val="Intense Quote"/>
    <w:basedOn w:val="Normal"/>
    <w:next w:val="Normal"/>
    <w:link w:val="IntenseQuoteChar"/>
    <w:uiPriority w:val="30"/>
    <w:qFormat/>
    <w:rsid w:val="0082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9B"/>
    <w:rPr>
      <w:i/>
      <w:iCs/>
      <w:color w:val="0F4761" w:themeColor="accent1" w:themeShade="BF"/>
    </w:rPr>
  </w:style>
  <w:style w:type="character" w:styleId="IntenseReference">
    <w:name w:val="Intense Reference"/>
    <w:basedOn w:val="DefaultParagraphFont"/>
    <w:uiPriority w:val="32"/>
    <w:qFormat/>
    <w:rsid w:val="00827E9B"/>
    <w:rPr>
      <w:b/>
      <w:bCs/>
      <w:smallCaps/>
      <w:color w:val="0F4761" w:themeColor="accent1" w:themeShade="BF"/>
      <w:spacing w:val="5"/>
    </w:rPr>
  </w:style>
  <w:style w:type="table" w:styleId="TableGrid">
    <w:name w:val="Table Grid"/>
    <w:basedOn w:val="TableNormal"/>
    <w:uiPriority w:val="39"/>
    <w:rsid w:val="0082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7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Boylan</dc:creator>
  <cp:keywords/>
  <dc:description/>
  <cp:lastModifiedBy>Frances Boylan</cp:lastModifiedBy>
  <cp:revision>2</cp:revision>
  <cp:lastPrinted>2025-08-18T10:48:00Z</cp:lastPrinted>
  <dcterms:created xsi:type="dcterms:W3CDTF">2025-08-19T09:04:00Z</dcterms:created>
  <dcterms:modified xsi:type="dcterms:W3CDTF">2025-08-19T09:04:00Z</dcterms:modified>
</cp:coreProperties>
</file>