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8361" w14:textId="6B071CD9" w:rsidR="00A64116" w:rsidRPr="008656DF" w:rsidRDefault="2B3A8A81" w:rsidP="7643997B">
      <w:pPr>
        <w:pStyle w:val="Heading1"/>
        <w:rPr>
          <w:rFonts w:ascii="Calibri" w:eastAsia="Calibri" w:hAnsi="Calibri" w:cs="Calibri"/>
          <w:lang w:val="en-US"/>
        </w:rPr>
      </w:pPr>
      <w:r w:rsidRPr="7643997B">
        <w:rPr>
          <w:rFonts w:ascii="Calibri" w:eastAsia="Calibri" w:hAnsi="Calibri" w:cs="Calibri"/>
          <w:lang w:val="en-US"/>
        </w:rPr>
        <w:t>Mapping Content Types and Delivery Methods</w:t>
      </w:r>
      <w:r w:rsidR="004C046F">
        <w:rPr>
          <w:rFonts w:ascii="Calibri" w:eastAsia="Calibri" w:hAnsi="Calibri" w:cs="Calibri"/>
          <w:lang w:val="en-US"/>
        </w:rPr>
        <w:t>:</w:t>
      </w:r>
      <w:r w:rsidR="008656DF">
        <w:rPr>
          <w:rFonts w:ascii="Calibri" w:eastAsia="Calibri" w:hAnsi="Calibri" w:cs="Calibri"/>
          <w:lang w:val="en-US"/>
        </w:rPr>
        <w:br/>
        <w:t>In-Person On-Campus Technology-Enabled</w:t>
      </w:r>
      <w:r w:rsidR="630B834A" w:rsidRPr="7643997B">
        <w:rPr>
          <w:rFonts w:ascii="Calibri" w:eastAsia="Calibri" w:hAnsi="Calibri" w:cs="Calibri"/>
          <w:lang w:val="en-US"/>
        </w:rPr>
        <w:t xml:space="preserve"> Delivery</w:t>
      </w:r>
    </w:p>
    <w:p w14:paraId="1CBB0929" w14:textId="299EC9DF" w:rsidR="00617CAD" w:rsidRDefault="00617CAD" w:rsidP="7643997B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When</w:t>
      </w:r>
      <w:r w:rsidR="002508AF">
        <w:rPr>
          <w:rFonts w:ascii="Calibri" w:eastAsia="Calibri" w:hAnsi="Calibri" w:cs="Calibri"/>
          <w:color w:val="000000" w:themeColor="text1"/>
        </w:rPr>
        <w:t xml:space="preserve"> you are redesigning an </w:t>
      </w:r>
      <w:r>
        <w:rPr>
          <w:rFonts w:ascii="Calibri" w:eastAsia="Calibri" w:hAnsi="Calibri" w:cs="Calibri"/>
          <w:color w:val="000000" w:themeColor="text1"/>
        </w:rPr>
        <w:t>I</w:t>
      </w:r>
      <w:r w:rsidR="002508AF">
        <w:rPr>
          <w:rFonts w:ascii="Calibri" w:eastAsia="Calibri" w:hAnsi="Calibri" w:cs="Calibri"/>
          <w:color w:val="000000" w:themeColor="text1"/>
        </w:rPr>
        <w:t>n-</w:t>
      </w:r>
      <w:r>
        <w:rPr>
          <w:rFonts w:ascii="Calibri" w:eastAsia="Calibri" w:hAnsi="Calibri" w:cs="Calibri"/>
          <w:color w:val="000000" w:themeColor="text1"/>
        </w:rPr>
        <w:t>P</w:t>
      </w:r>
      <w:r w:rsidR="002508AF">
        <w:rPr>
          <w:rFonts w:ascii="Calibri" w:eastAsia="Calibri" w:hAnsi="Calibri" w:cs="Calibri"/>
          <w:color w:val="000000" w:themeColor="text1"/>
        </w:rPr>
        <w:t xml:space="preserve">erson </w:t>
      </w:r>
      <w:r>
        <w:rPr>
          <w:rFonts w:ascii="Calibri" w:eastAsia="Calibri" w:hAnsi="Calibri" w:cs="Calibri"/>
          <w:color w:val="000000" w:themeColor="text1"/>
        </w:rPr>
        <w:t>O</w:t>
      </w:r>
      <w:r w:rsidR="002508AF">
        <w:rPr>
          <w:rFonts w:ascii="Calibri" w:eastAsia="Calibri" w:hAnsi="Calibri" w:cs="Calibri"/>
          <w:color w:val="000000" w:themeColor="text1"/>
        </w:rPr>
        <w:t>n-</w:t>
      </w:r>
      <w:r>
        <w:rPr>
          <w:rFonts w:ascii="Calibri" w:eastAsia="Calibri" w:hAnsi="Calibri" w:cs="Calibri"/>
          <w:color w:val="000000" w:themeColor="text1"/>
        </w:rPr>
        <w:t>C</w:t>
      </w:r>
      <w:r w:rsidR="002508AF">
        <w:rPr>
          <w:rFonts w:ascii="Calibri" w:eastAsia="Calibri" w:hAnsi="Calibri" w:cs="Calibri"/>
          <w:color w:val="000000" w:themeColor="text1"/>
        </w:rPr>
        <w:t xml:space="preserve">ampus module to be </w:t>
      </w:r>
      <w:r>
        <w:rPr>
          <w:rFonts w:ascii="Calibri" w:eastAsia="Calibri" w:hAnsi="Calibri" w:cs="Calibri"/>
          <w:color w:val="000000" w:themeColor="text1"/>
        </w:rPr>
        <w:t xml:space="preserve">technology-enabled, </w:t>
      </w:r>
      <w:r w:rsidR="004C046F">
        <w:rPr>
          <w:rFonts w:ascii="Calibri" w:eastAsia="Calibri" w:hAnsi="Calibri" w:cs="Calibri"/>
          <w:color w:val="000000" w:themeColor="text1"/>
        </w:rPr>
        <w:t xml:space="preserve">the redesign process </w:t>
      </w:r>
      <w:r w:rsidR="007B7181">
        <w:rPr>
          <w:rFonts w:ascii="Calibri" w:eastAsia="Calibri" w:hAnsi="Calibri" w:cs="Calibri"/>
          <w:color w:val="000000" w:themeColor="text1"/>
        </w:rPr>
        <w:t xml:space="preserve">can extend beyond </w:t>
      </w:r>
      <w:r w:rsidR="004C046F">
        <w:rPr>
          <w:rFonts w:ascii="Calibri" w:eastAsia="Calibri" w:hAnsi="Calibri" w:cs="Calibri"/>
          <w:color w:val="000000" w:themeColor="text1"/>
        </w:rPr>
        <w:t xml:space="preserve">in-person </w:t>
      </w:r>
      <w:r w:rsidR="007B7181">
        <w:rPr>
          <w:rFonts w:ascii="Calibri" w:eastAsia="Calibri" w:hAnsi="Calibri" w:cs="Calibri"/>
          <w:color w:val="000000" w:themeColor="text1"/>
        </w:rPr>
        <w:t xml:space="preserve">classroom activities </w:t>
      </w:r>
      <w:r w:rsidR="004C046F">
        <w:rPr>
          <w:rFonts w:ascii="Calibri" w:eastAsia="Calibri" w:hAnsi="Calibri" w:cs="Calibri"/>
          <w:color w:val="000000" w:themeColor="text1"/>
        </w:rPr>
        <w:t>to</w:t>
      </w:r>
      <w:r>
        <w:rPr>
          <w:rFonts w:ascii="Calibri" w:eastAsia="Calibri" w:hAnsi="Calibri" w:cs="Calibri"/>
          <w:color w:val="000000" w:themeColor="text1"/>
        </w:rPr>
        <w:t xml:space="preserve"> include a review of content type</w:t>
      </w:r>
      <w:r w:rsidR="007B7181">
        <w:rPr>
          <w:rFonts w:ascii="Calibri" w:eastAsia="Calibri" w:hAnsi="Calibri" w:cs="Calibri"/>
          <w:color w:val="000000" w:themeColor="text1"/>
        </w:rPr>
        <w:t xml:space="preserve"> and delivery</w:t>
      </w:r>
      <w:r>
        <w:rPr>
          <w:rFonts w:ascii="Calibri" w:eastAsia="Calibri" w:hAnsi="Calibri" w:cs="Calibri"/>
          <w:color w:val="000000" w:themeColor="text1"/>
        </w:rPr>
        <w:t xml:space="preserve">. </w:t>
      </w:r>
      <w:r w:rsidR="004C046F">
        <w:rPr>
          <w:rFonts w:ascii="Calibri" w:eastAsia="Calibri" w:hAnsi="Calibri" w:cs="Calibri"/>
          <w:color w:val="000000" w:themeColor="text1"/>
        </w:rPr>
        <w:t>For example, t</w:t>
      </w:r>
      <w:r>
        <w:rPr>
          <w:rFonts w:ascii="Calibri" w:eastAsia="Calibri" w:hAnsi="Calibri" w:cs="Calibri"/>
          <w:color w:val="000000" w:themeColor="text1"/>
        </w:rPr>
        <w:t xml:space="preserve">he integration of technology can open doors for new instructional strategies such as the </w:t>
      </w:r>
      <w:hyperlink r:id="rId8" w:history="1">
        <w:r w:rsidRPr="00617CAD">
          <w:rPr>
            <w:rStyle w:val="Hyperlink"/>
            <w:rFonts w:ascii="Calibri" w:eastAsia="Calibri" w:hAnsi="Calibri" w:cs="Calibri"/>
          </w:rPr>
          <w:t>flipped classroom approach</w:t>
        </w:r>
      </w:hyperlink>
      <w:r>
        <w:rPr>
          <w:rFonts w:ascii="Calibri" w:eastAsia="Calibri" w:hAnsi="Calibri" w:cs="Calibri"/>
          <w:color w:val="000000" w:themeColor="text1"/>
        </w:rPr>
        <w:t xml:space="preserve">. </w:t>
      </w:r>
      <w:r w:rsidR="00123FC4">
        <w:rPr>
          <w:rFonts w:ascii="Calibri" w:eastAsia="Calibri" w:hAnsi="Calibri" w:cs="Calibri"/>
          <w:color w:val="000000" w:themeColor="text1"/>
        </w:rPr>
        <w:t xml:space="preserve">In this </w:t>
      </w:r>
      <w:proofErr w:type="gramStart"/>
      <w:r w:rsidR="00123FC4">
        <w:rPr>
          <w:rFonts w:ascii="Calibri" w:eastAsia="Calibri" w:hAnsi="Calibri" w:cs="Calibri"/>
          <w:color w:val="000000" w:themeColor="text1"/>
        </w:rPr>
        <w:t>particular approach</w:t>
      </w:r>
      <w:proofErr w:type="gramEnd"/>
      <w:r w:rsidR="00123FC4">
        <w:rPr>
          <w:rFonts w:ascii="Calibri" w:eastAsia="Calibri" w:hAnsi="Calibri" w:cs="Calibri"/>
          <w:color w:val="000000" w:themeColor="text1"/>
        </w:rPr>
        <w:t xml:space="preserve">, content is made available to the students prior to the in-person on-campus class </w:t>
      </w:r>
      <w:proofErr w:type="gramStart"/>
      <w:r w:rsidR="00123FC4">
        <w:rPr>
          <w:rFonts w:ascii="Calibri" w:eastAsia="Calibri" w:hAnsi="Calibri" w:cs="Calibri"/>
          <w:color w:val="000000" w:themeColor="text1"/>
        </w:rPr>
        <w:t>so as to</w:t>
      </w:r>
      <w:proofErr w:type="gramEnd"/>
      <w:r w:rsidR="00123FC4">
        <w:rPr>
          <w:rFonts w:ascii="Calibri" w:eastAsia="Calibri" w:hAnsi="Calibri" w:cs="Calibri"/>
          <w:color w:val="000000" w:themeColor="text1"/>
        </w:rPr>
        <w:t xml:space="preserve"> free up time during that class for activities based on applying the content reviewed. This content can take many </w:t>
      </w:r>
      <w:r w:rsidR="004C046F">
        <w:rPr>
          <w:rFonts w:ascii="Calibri" w:eastAsia="Calibri" w:hAnsi="Calibri" w:cs="Calibri"/>
          <w:color w:val="000000" w:themeColor="text1"/>
        </w:rPr>
        <w:t xml:space="preserve">engaging digital </w:t>
      </w:r>
      <w:r w:rsidR="00123FC4">
        <w:rPr>
          <w:rFonts w:ascii="Calibri" w:eastAsia="Calibri" w:hAnsi="Calibri" w:cs="Calibri"/>
          <w:color w:val="000000" w:themeColor="text1"/>
        </w:rPr>
        <w:t>forms such as videos</w:t>
      </w:r>
      <w:r w:rsidR="004C046F">
        <w:rPr>
          <w:rFonts w:ascii="Calibri" w:eastAsia="Calibri" w:hAnsi="Calibri" w:cs="Calibri"/>
          <w:color w:val="000000" w:themeColor="text1"/>
        </w:rPr>
        <w:t xml:space="preserve"> with embedded quiz questions</w:t>
      </w:r>
      <w:r w:rsidR="00123FC4">
        <w:rPr>
          <w:rFonts w:ascii="Calibri" w:eastAsia="Calibri" w:hAnsi="Calibri" w:cs="Calibri"/>
          <w:color w:val="000000" w:themeColor="text1"/>
        </w:rPr>
        <w:t>, podcasts,</w:t>
      </w:r>
      <w:r w:rsidR="004C046F">
        <w:rPr>
          <w:rFonts w:ascii="Calibri" w:eastAsia="Calibri" w:hAnsi="Calibri" w:cs="Calibri"/>
          <w:color w:val="000000" w:themeColor="text1"/>
        </w:rPr>
        <w:t xml:space="preserve"> bite sized</w:t>
      </w:r>
      <w:r w:rsidR="00123FC4">
        <w:rPr>
          <w:rFonts w:ascii="Calibri" w:eastAsia="Calibri" w:hAnsi="Calibri" w:cs="Calibri"/>
          <w:color w:val="000000" w:themeColor="text1"/>
        </w:rPr>
        <w:t xml:space="preserve"> slide</w:t>
      </w:r>
      <w:r w:rsidR="004C046F">
        <w:rPr>
          <w:rFonts w:ascii="Calibri" w:eastAsia="Calibri" w:hAnsi="Calibri" w:cs="Calibri"/>
          <w:color w:val="000000" w:themeColor="text1"/>
        </w:rPr>
        <w:t xml:space="preserve"> presentations</w:t>
      </w:r>
      <w:r w:rsidR="00123FC4">
        <w:rPr>
          <w:rFonts w:ascii="Calibri" w:eastAsia="Calibri" w:hAnsi="Calibri" w:cs="Calibri"/>
          <w:color w:val="000000" w:themeColor="text1"/>
        </w:rPr>
        <w:t xml:space="preserve"> with voiceover</w:t>
      </w:r>
      <w:r w:rsidR="004C046F">
        <w:rPr>
          <w:rFonts w:ascii="Calibri" w:eastAsia="Calibri" w:hAnsi="Calibri" w:cs="Calibri"/>
          <w:color w:val="000000" w:themeColor="text1"/>
        </w:rPr>
        <w:t>s and annotations</w:t>
      </w:r>
      <w:r w:rsidR="00123FC4">
        <w:rPr>
          <w:rFonts w:ascii="Calibri" w:eastAsia="Calibri" w:hAnsi="Calibri" w:cs="Calibri"/>
          <w:color w:val="000000" w:themeColor="text1"/>
        </w:rPr>
        <w:t xml:space="preserve">, screencasts, </w:t>
      </w:r>
      <w:r w:rsidR="004C046F">
        <w:rPr>
          <w:rFonts w:ascii="Calibri" w:eastAsia="Calibri" w:hAnsi="Calibri" w:cs="Calibri"/>
          <w:color w:val="000000" w:themeColor="text1"/>
        </w:rPr>
        <w:t xml:space="preserve">and </w:t>
      </w:r>
      <w:r w:rsidR="00123FC4">
        <w:rPr>
          <w:rFonts w:ascii="Calibri" w:eastAsia="Calibri" w:hAnsi="Calibri" w:cs="Calibri"/>
          <w:color w:val="000000" w:themeColor="text1"/>
        </w:rPr>
        <w:t xml:space="preserve">simulations. Even if you are not employing the flipped classroom approach, you </w:t>
      </w:r>
      <w:r w:rsidR="007B7181">
        <w:rPr>
          <w:rFonts w:ascii="Calibri" w:eastAsia="Calibri" w:hAnsi="Calibri" w:cs="Calibri"/>
          <w:color w:val="000000" w:themeColor="text1"/>
        </w:rPr>
        <w:t>may</w:t>
      </w:r>
      <w:r w:rsidR="00123FC4">
        <w:rPr>
          <w:rFonts w:ascii="Calibri" w:eastAsia="Calibri" w:hAnsi="Calibri" w:cs="Calibri"/>
          <w:color w:val="000000" w:themeColor="text1"/>
        </w:rPr>
        <w:t xml:space="preserve"> still wish to use technology to </w:t>
      </w:r>
      <w:r w:rsidR="00535865">
        <w:rPr>
          <w:rFonts w:ascii="Calibri" w:eastAsia="Calibri" w:hAnsi="Calibri" w:cs="Calibri"/>
          <w:color w:val="000000" w:themeColor="text1"/>
        </w:rPr>
        <w:t xml:space="preserve">present class content in multiple formats in line with University Design for Learning (UDL) principles. </w:t>
      </w:r>
    </w:p>
    <w:p w14:paraId="55048A8B" w14:textId="50D17FB0" w:rsidR="00A64116" w:rsidRDefault="48EB3396" w:rsidP="7643997B">
      <w:pPr>
        <w:rPr>
          <w:rFonts w:ascii="Calibri" w:eastAsia="Calibri" w:hAnsi="Calibri" w:cs="Calibri"/>
          <w:color w:val="000000" w:themeColor="text1"/>
        </w:rPr>
      </w:pPr>
      <w:r w:rsidRPr="7643997B">
        <w:rPr>
          <w:rFonts w:ascii="Calibri" w:eastAsia="Calibri" w:hAnsi="Calibri" w:cs="Calibri"/>
          <w:color w:val="000000" w:themeColor="text1"/>
        </w:rPr>
        <w:t xml:space="preserve">The best way to </w:t>
      </w:r>
      <w:r w:rsidR="00E36A2D">
        <w:rPr>
          <w:rFonts w:ascii="Calibri" w:eastAsia="Calibri" w:hAnsi="Calibri" w:cs="Calibri"/>
          <w:color w:val="000000" w:themeColor="text1"/>
        </w:rPr>
        <w:t xml:space="preserve">begin </w:t>
      </w:r>
      <w:r w:rsidR="0055335C">
        <w:rPr>
          <w:rFonts w:ascii="Calibri" w:eastAsia="Calibri" w:hAnsi="Calibri" w:cs="Calibri"/>
          <w:color w:val="000000" w:themeColor="text1"/>
        </w:rPr>
        <w:t xml:space="preserve">making such decisions </w:t>
      </w:r>
      <w:r w:rsidR="00235F40">
        <w:rPr>
          <w:rFonts w:ascii="Calibri" w:eastAsia="Calibri" w:hAnsi="Calibri" w:cs="Calibri"/>
          <w:color w:val="000000" w:themeColor="text1"/>
        </w:rPr>
        <w:t xml:space="preserve">is </w:t>
      </w:r>
      <w:r w:rsidR="00E36A2D">
        <w:rPr>
          <w:rFonts w:ascii="Calibri" w:eastAsia="Calibri" w:hAnsi="Calibri" w:cs="Calibri"/>
          <w:color w:val="000000" w:themeColor="text1"/>
        </w:rPr>
        <w:t xml:space="preserve">to </w:t>
      </w:r>
      <w:r w:rsidRPr="7643997B">
        <w:rPr>
          <w:rFonts w:ascii="Calibri" w:eastAsia="Calibri" w:hAnsi="Calibri" w:cs="Calibri"/>
          <w:color w:val="000000" w:themeColor="text1"/>
        </w:rPr>
        <w:t>map each topic</w:t>
      </w:r>
      <w:r w:rsidR="004A5233">
        <w:rPr>
          <w:rFonts w:ascii="Calibri" w:eastAsia="Calibri" w:hAnsi="Calibri" w:cs="Calibri"/>
          <w:color w:val="000000" w:themeColor="text1"/>
        </w:rPr>
        <w:t>,</w:t>
      </w:r>
      <w:r w:rsidRPr="7643997B">
        <w:rPr>
          <w:rFonts w:ascii="Calibri" w:eastAsia="Calibri" w:hAnsi="Calibri" w:cs="Calibri"/>
          <w:color w:val="000000" w:themeColor="text1"/>
        </w:rPr>
        <w:t xml:space="preserve"> </w:t>
      </w:r>
      <w:r w:rsidR="00E36A2D">
        <w:rPr>
          <w:rFonts w:ascii="Calibri" w:eastAsia="Calibri" w:hAnsi="Calibri" w:cs="Calibri"/>
          <w:color w:val="000000" w:themeColor="text1"/>
        </w:rPr>
        <w:t xml:space="preserve">its </w:t>
      </w:r>
      <w:r w:rsidRPr="7643997B">
        <w:rPr>
          <w:rFonts w:ascii="Calibri" w:eastAsia="Calibri" w:hAnsi="Calibri" w:cs="Calibri"/>
          <w:color w:val="000000" w:themeColor="text1"/>
        </w:rPr>
        <w:t>associated learning objectives</w:t>
      </w:r>
      <w:r w:rsidR="004A5233">
        <w:rPr>
          <w:rFonts w:ascii="Calibri" w:eastAsia="Calibri" w:hAnsi="Calibri" w:cs="Calibri"/>
          <w:color w:val="000000" w:themeColor="text1"/>
        </w:rPr>
        <w:t>, current content types</w:t>
      </w:r>
      <w:r w:rsidR="0055335C">
        <w:rPr>
          <w:rFonts w:ascii="Calibri" w:eastAsia="Calibri" w:hAnsi="Calibri" w:cs="Calibri"/>
          <w:color w:val="000000" w:themeColor="text1"/>
        </w:rPr>
        <w:t>,</w:t>
      </w:r>
      <w:r w:rsidR="004A5233">
        <w:rPr>
          <w:rFonts w:ascii="Calibri" w:eastAsia="Calibri" w:hAnsi="Calibri" w:cs="Calibri"/>
          <w:color w:val="000000" w:themeColor="text1"/>
        </w:rPr>
        <w:t xml:space="preserve"> and delivery methods. Once that is done, decisions can then be made around which content</w:t>
      </w:r>
      <w:r w:rsidR="0055335C">
        <w:rPr>
          <w:rFonts w:ascii="Calibri" w:eastAsia="Calibri" w:hAnsi="Calibri" w:cs="Calibri"/>
          <w:color w:val="000000" w:themeColor="text1"/>
        </w:rPr>
        <w:t xml:space="preserve"> needs to remain </w:t>
      </w:r>
      <w:r w:rsidR="0055335C">
        <w:rPr>
          <w:rFonts w:ascii="Calibri" w:eastAsia="Calibri" w:hAnsi="Calibri" w:cs="Calibri"/>
          <w:color w:val="000000" w:themeColor="text1"/>
        </w:rPr>
        <w:t>in the in-person on-campus environment</w:t>
      </w:r>
      <w:r w:rsidR="0055335C">
        <w:rPr>
          <w:rFonts w:ascii="Calibri" w:eastAsia="Calibri" w:hAnsi="Calibri" w:cs="Calibri"/>
          <w:color w:val="000000" w:themeColor="text1"/>
        </w:rPr>
        <w:t xml:space="preserve"> and which</w:t>
      </w:r>
      <w:r w:rsidR="004A5233">
        <w:rPr>
          <w:rFonts w:ascii="Calibri" w:eastAsia="Calibri" w:hAnsi="Calibri" w:cs="Calibri"/>
          <w:color w:val="000000" w:themeColor="text1"/>
        </w:rPr>
        <w:t xml:space="preserve"> could be </w:t>
      </w:r>
      <w:r w:rsidR="0055335C">
        <w:rPr>
          <w:rFonts w:ascii="Calibri" w:eastAsia="Calibri" w:hAnsi="Calibri" w:cs="Calibri"/>
          <w:color w:val="000000" w:themeColor="text1"/>
        </w:rPr>
        <w:t>recreated or repackaged and made available for access online outside of class time</w:t>
      </w:r>
      <w:r w:rsidR="00535865">
        <w:rPr>
          <w:rFonts w:ascii="Calibri" w:eastAsia="Calibri" w:hAnsi="Calibri" w:cs="Calibri"/>
          <w:color w:val="000000" w:themeColor="text1"/>
        </w:rPr>
        <w:t xml:space="preserve"> to complement in-person activities</w:t>
      </w:r>
      <w:r w:rsidR="0055335C">
        <w:rPr>
          <w:rFonts w:ascii="Calibri" w:eastAsia="Calibri" w:hAnsi="Calibri" w:cs="Calibri"/>
          <w:color w:val="000000" w:themeColor="text1"/>
        </w:rPr>
        <w:t xml:space="preserve">. </w:t>
      </w:r>
    </w:p>
    <w:tbl>
      <w:tblPr>
        <w:tblStyle w:val="TableGrid"/>
        <w:tblW w:w="1543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970"/>
        <w:gridCol w:w="2126"/>
        <w:gridCol w:w="2410"/>
        <w:gridCol w:w="2835"/>
        <w:gridCol w:w="6095"/>
      </w:tblGrid>
      <w:tr w:rsidR="00535865" w14:paraId="393D1EB6" w14:textId="3BA7C274" w:rsidTr="00535865">
        <w:trPr>
          <w:trHeight w:val="844"/>
        </w:trPr>
        <w:tc>
          <w:tcPr>
            <w:tcW w:w="1970" w:type="dxa"/>
            <w:shd w:val="clear" w:color="auto" w:fill="275317" w:themeFill="accent6" w:themeFillShade="80"/>
            <w:tcMar>
              <w:left w:w="105" w:type="dxa"/>
              <w:right w:w="105" w:type="dxa"/>
            </w:tcMar>
          </w:tcPr>
          <w:p w14:paraId="4D5AF46D" w14:textId="765C976D" w:rsidR="00535865" w:rsidRPr="000E19E3" w:rsidRDefault="00535865" w:rsidP="7643997B">
            <w:pPr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000E19E3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List of Topics</w:t>
            </w:r>
          </w:p>
        </w:tc>
        <w:tc>
          <w:tcPr>
            <w:tcW w:w="2126" w:type="dxa"/>
            <w:shd w:val="clear" w:color="auto" w:fill="275317" w:themeFill="accent6" w:themeFillShade="80"/>
            <w:tcMar>
              <w:left w:w="105" w:type="dxa"/>
              <w:right w:w="105" w:type="dxa"/>
            </w:tcMar>
          </w:tcPr>
          <w:p w14:paraId="661FE6F2" w14:textId="35E36536" w:rsidR="00535865" w:rsidRPr="000E19E3" w:rsidRDefault="00535865" w:rsidP="7643997B">
            <w:pPr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000E19E3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Learning Objective(s) associated with each topic</w:t>
            </w:r>
          </w:p>
        </w:tc>
        <w:tc>
          <w:tcPr>
            <w:tcW w:w="2410" w:type="dxa"/>
            <w:shd w:val="clear" w:color="auto" w:fill="275317" w:themeFill="accent6" w:themeFillShade="80"/>
            <w:tcMar>
              <w:left w:w="105" w:type="dxa"/>
              <w:right w:w="105" w:type="dxa"/>
            </w:tcMar>
          </w:tcPr>
          <w:p w14:paraId="0D68D219" w14:textId="7DD2171C" w:rsidR="00535865" w:rsidRPr="000E19E3" w:rsidRDefault="00535865" w:rsidP="7643997B">
            <w:pPr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000E19E3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Current in-person, on-campus, content type and delivery method</w:t>
            </w:r>
          </w:p>
        </w:tc>
        <w:tc>
          <w:tcPr>
            <w:tcW w:w="2835" w:type="dxa"/>
            <w:shd w:val="clear" w:color="auto" w:fill="275317" w:themeFill="accent6" w:themeFillShade="80"/>
            <w:tcMar>
              <w:left w:w="105" w:type="dxa"/>
              <w:right w:w="105" w:type="dxa"/>
            </w:tcMar>
          </w:tcPr>
          <w:p w14:paraId="4243AB04" w14:textId="4AD3FFA0" w:rsidR="00535865" w:rsidRPr="000E19E3" w:rsidRDefault="00535865" w:rsidP="00C01A74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Multiple Formats</w:t>
            </w:r>
          </w:p>
          <w:p w14:paraId="40591651" w14:textId="19C91F00" w:rsidR="00535865" w:rsidRPr="000E19E3" w:rsidRDefault="00535865" w:rsidP="00C01A74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8DD873" w:themeFill="accent6" w:themeFillTint="99"/>
          </w:tcPr>
          <w:p w14:paraId="2DDBB66E" w14:textId="40F9C7DB" w:rsidR="00535865" w:rsidRPr="004A5233" w:rsidRDefault="00535865" w:rsidP="00C01A74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Alternative</w:t>
            </w:r>
            <w:r w:rsidR="00CF007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/additional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content type and delivery method, if a change is decided</w:t>
            </w:r>
          </w:p>
        </w:tc>
      </w:tr>
      <w:tr w:rsidR="00535865" w14:paraId="1097CBDE" w14:textId="60F26F14" w:rsidTr="00535865">
        <w:trPr>
          <w:trHeight w:val="820"/>
        </w:trPr>
        <w:tc>
          <w:tcPr>
            <w:tcW w:w="1970" w:type="dxa"/>
            <w:tcMar>
              <w:left w:w="105" w:type="dxa"/>
              <w:right w:w="105" w:type="dxa"/>
            </w:tcMar>
          </w:tcPr>
          <w:p w14:paraId="12880744" w14:textId="5770A079" w:rsidR="00535865" w:rsidRDefault="00535865" w:rsidP="7643997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7643997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Topic 1</w:t>
            </w: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4E20B35C" w14:textId="33482532" w:rsidR="00535865" w:rsidRDefault="00535865" w:rsidP="7643997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43997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LO1</w:t>
            </w:r>
            <w:r>
              <w:br/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22DA0C47" w14:textId="77777777" w:rsidR="00535865" w:rsidRDefault="00535865" w:rsidP="7643997B">
            <w:pP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[</w:t>
            </w:r>
            <w:r w:rsidRPr="008C55DD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Example: Static PPT, projected during live lecture</w:t>
            </w:r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]</w:t>
            </w:r>
          </w:p>
          <w:p w14:paraId="36740544" w14:textId="77777777" w:rsidR="00535865" w:rsidRDefault="00535865" w:rsidP="7643997B">
            <w:pP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</w:pPr>
          </w:p>
          <w:p w14:paraId="76FB3C78" w14:textId="77777777" w:rsidR="00535865" w:rsidRDefault="00535865" w:rsidP="7643997B">
            <w:pP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[Example:</w:t>
            </w:r>
            <w:r w:rsidRPr="008C55DD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 Live demo during live lecture</w:t>
            </w:r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]</w:t>
            </w:r>
          </w:p>
          <w:p w14:paraId="391FF026" w14:textId="77777777" w:rsidR="00535865" w:rsidRDefault="00535865" w:rsidP="7643997B">
            <w:pP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</w:pPr>
          </w:p>
          <w:p w14:paraId="2B7351B9" w14:textId="520345B4" w:rsidR="00535865" w:rsidRPr="008C55DD" w:rsidRDefault="00535865" w:rsidP="7643997B">
            <w:pP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[Example: Practical hands-on work in science lab/computer lab]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</w:tcPr>
          <w:p w14:paraId="1775A81D" w14:textId="4E7E68B7" w:rsidR="00535865" w:rsidRPr="008F58C8" w:rsidRDefault="00535865" w:rsidP="00EB32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Would the students benefit from this content being presented in multiple formats? Is the content appropriate for such repackaging? Will it still help meet the LO in its alternative format?</w:t>
            </w:r>
          </w:p>
          <w:p w14:paraId="52260796" w14:textId="62087443" w:rsidR="00535865" w:rsidRPr="008F58C8" w:rsidRDefault="00535865" w:rsidP="00EB32DE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F58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156097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431FA20E" w14:textId="25EB2AE6" w:rsidR="00535865" w:rsidRPr="008F58C8" w:rsidRDefault="00535865" w:rsidP="005B7538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-21215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8C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6095" w:type="dxa"/>
          </w:tcPr>
          <w:p w14:paraId="3E964500" w14:textId="17775B3B" w:rsidR="00535865" w:rsidRDefault="00535865" w:rsidP="00EB32DE">
            <w:pP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[</w:t>
            </w:r>
            <w:r w:rsidRPr="008C55DD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Example: </w:t>
            </w:r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Podcast; available on demand but required listening before </w:t>
            </w:r>
            <w:r w:rsidR="00CF0075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the in-person on-campus </w:t>
            </w:r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lecture </w:t>
            </w:r>
            <w:r w:rsidR="00CF0075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on </w:t>
            </w:r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dd/mm/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yy</w:t>
            </w:r>
            <w:proofErr w:type="spellEnd"/>
          </w:p>
          <w:p w14:paraId="6399D2B4" w14:textId="77777777" w:rsidR="00535865" w:rsidRDefault="00535865" w:rsidP="00EB32DE">
            <w:pP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</w:pPr>
          </w:p>
          <w:p w14:paraId="55897CC4" w14:textId="2288152E" w:rsidR="00535865" w:rsidRDefault="00535865" w:rsidP="009C1C4C">
            <w:pP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[Example: ScreenPal screencast of using x &amp; y functions in z software package; available on demand but required watching before </w:t>
            </w:r>
            <w:r w:rsidR="00CF0075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the in-person on-campus </w:t>
            </w:r>
            <w:r w:rsidR="00CF0075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lab on</w:t>
            </w:r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 dd/mm/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yy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 to free up time to allow for advanced in-class practice]</w:t>
            </w:r>
          </w:p>
          <w:p w14:paraId="1B3B16AC" w14:textId="77777777" w:rsidR="00CF0075" w:rsidRDefault="00CF0075" w:rsidP="009C1C4C">
            <w:pP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</w:pPr>
          </w:p>
          <w:p w14:paraId="1B590C4C" w14:textId="16BF6DAE" w:rsidR="00CF0075" w:rsidRPr="008F58C8" w:rsidRDefault="00CF0075" w:rsidP="009C1C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[Example: A recording of a live demonstration given during class, made using a document camera or a wearable camera]</w:t>
            </w:r>
          </w:p>
          <w:p w14:paraId="4F9C394B" w14:textId="3C9EA11E" w:rsidR="00535865" w:rsidRPr="008F58C8" w:rsidRDefault="00535865" w:rsidP="00EB32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7DCDCE" w14:textId="77777777" w:rsidR="00EB32DE" w:rsidRDefault="00EB32DE" w:rsidP="3FB15AFB">
      <w:pPr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</w:p>
    <w:p w14:paraId="57B07105" w14:textId="4E03825C" w:rsidR="00535865" w:rsidRDefault="00535865" w:rsidP="3FB15AFB">
      <w:pPr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Repeat this exercise for each topic. </w:t>
      </w:r>
    </w:p>
    <w:p w14:paraId="520A18EF" w14:textId="086E6F83" w:rsidR="005B3C6F" w:rsidRDefault="221889DE" w:rsidP="3FB15AFB">
      <w:pPr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00097DC2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lastRenderedPageBreak/>
        <w:t>Note: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>If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yo</w:t>
      </w:r>
      <w:r w:rsidR="00CF0075">
        <w:rPr>
          <w:rFonts w:ascii="Calibri" w:eastAsia="Calibri" w:hAnsi="Calibri" w:cs="Calibri"/>
          <w:color w:val="000000" w:themeColor="text1"/>
          <w:sz w:val="22"/>
          <w:szCs w:val="22"/>
        </w:rPr>
        <w:t>u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decide to </w:t>
      </w:r>
      <w:r w:rsidR="00CF007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employ the flipped classroom approach, 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remember that 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passively watching 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>long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recording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>s</w:t>
      </w:r>
      <w:r w:rsidR="00CF007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or slides with voiceover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is 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>not</w:t>
      </w:r>
      <w:r w:rsidR="00F90E7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best way 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for students 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>to cover the necessary content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>. Instead, consider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creat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ing some 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>short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(chunked) interactive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screencasts/videos or podcasts, or multimedia presentations, that cover that content in an interesting and engaging way and make those available to them instead. </w:t>
      </w:r>
      <w:hyperlink r:id="rId9" w:history="1">
        <w:r w:rsidR="00097DC2" w:rsidRPr="00F90E7C">
          <w:rPr>
            <w:rStyle w:val="Hyperlink"/>
            <w:rFonts w:ascii="Calibri" w:eastAsia="Calibri" w:hAnsi="Calibri" w:cs="Calibri"/>
            <w:sz w:val="22"/>
            <w:szCs w:val="22"/>
          </w:rPr>
          <w:t>Talk to any member of the Digital Education Team</w:t>
        </w:r>
      </w:hyperlink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explore what’s possible</w:t>
      </w:r>
      <w:r w:rsidR="00F90E7C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</w:t>
      </w:r>
      <w:r w:rsidR="00F90E7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undertake some </w:t>
      </w:r>
      <w:hyperlink r:id="rId10" w:history="1">
        <w:r w:rsidR="00F90E7C" w:rsidRPr="00F90E7C">
          <w:rPr>
            <w:rStyle w:val="Hyperlink"/>
            <w:rFonts w:ascii="Calibri" w:eastAsia="Calibri" w:hAnsi="Calibri" w:cs="Calibri"/>
            <w:sz w:val="22"/>
            <w:szCs w:val="22"/>
          </w:rPr>
          <w:t>training</w:t>
        </w:r>
      </w:hyperlink>
      <w:r w:rsidR="00F90E7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 the appropriate </w:t>
      </w:r>
      <w:hyperlink r:id="rId11" w:history="1">
        <w:r w:rsidR="00F90E7C" w:rsidRPr="00F90E7C">
          <w:rPr>
            <w:rStyle w:val="Hyperlink"/>
            <w:rFonts w:ascii="Calibri" w:eastAsia="Calibri" w:hAnsi="Calibri" w:cs="Calibri"/>
            <w:sz w:val="22"/>
            <w:szCs w:val="22"/>
          </w:rPr>
          <w:t>learning technologies</w:t>
        </w:r>
      </w:hyperlink>
      <w:r w:rsidR="00F90E7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</w:p>
    <w:sectPr w:rsidR="005B3C6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C51BF"/>
    <w:multiLevelType w:val="hybridMultilevel"/>
    <w:tmpl w:val="4BAA4042"/>
    <w:lvl w:ilvl="0" w:tplc="8294C8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A976C1A6">
      <w:start w:val="1"/>
      <w:numFmt w:val="lowerLetter"/>
      <w:lvlText w:val="%2."/>
      <w:lvlJc w:val="left"/>
      <w:pPr>
        <w:ind w:left="1440" w:hanging="360"/>
      </w:pPr>
    </w:lvl>
    <w:lvl w:ilvl="2" w:tplc="7AF2174C">
      <w:start w:val="1"/>
      <w:numFmt w:val="lowerRoman"/>
      <w:lvlText w:val="%3."/>
      <w:lvlJc w:val="right"/>
      <w:pPr>
        <w:ind w:left="2160" w:hanging="180"/>
      </w:pPr>
    </w:lvl>
    <w:lvl w:ilvl="3" w:tplc="FCC806BC">
      <w:start w:val="1"/>
      <w:numFmt w:val="decimal"/>
      <w:lvlText w:val="%4."/>
      <w:lvlJc w:val="left"/>
      <w:pPr>
        <w:ind w:left="2880" w:hanging="360"/>
      </w:pPr>
    </w:lvl>
    <w:lvl w:ilvl="4" w:tplc="CFBA8C7E">
      <w:start w:val="1"/>
      <w:numFmt w:val="lowerLetter"/>
      <w:lvlText w:val="%5."/>
      <w:lvlJc w:val="left"/>
      <w:pPr>
        <w:ind w:left="3600" w:hanging="360"/>
      </w:pPr>
    </w:lvl>
    <w:lvl w:ilvl="5" w:tplc="2736896A">
      <w:start w:val="1"/>
      <w:numFmt w:val="lowerRoman"/>
      <w:lvlText w:val="%6."/>
      <w:lvlJc w:val="right"/>
      <w:pPr>
        <w:ind w:left="4320" w:hanging="180"/>
      </w:pPr>
    </w:lvl>
    <w:lvl w:ilvl="6" w:tplc="282EBE4C">
      <w:start w:val="1"/>
      <w:numFmt w:val="decimal"/>
      <w:lvlText w:val="%7."/>
      <w:lvlJc w:val="left"/>
      <w:pPr>
        <w:ind w:left="5040" w:hanging="360"/>
      </w:pPr>
    </w:lvl>
    <w:lvl w:ilvl="7" w:tplc="08C02304">
      <w:start w:val="1"/>
      <w:numFmt w:val="lowerLetter"/>
      <w:lvlText w:val="%8."/>
      <w:lvlJc w:val="left"/>
      <w:pPr>
        <w:ind w:left="5760" w:hanging="360"/>
      </w:pPr>
    </w:lvl>
    <w:lvl w:ilvl="8" w:tplc="CE44BF6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6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166062"/>
    <w:rsid w:val="000124E0"/>
    <w:rsid w:val="00097DC2"/>
    <w:rsid w:val="000E079C"/>
    <w:rsid w:val="000E19E3"/>
    <w:rsid w:val="000F5E43"/>
    <w:rsid w:val="00123FC4"/>
    <w:rsid w:val="00140885"/>
    <w:rsid w:val="00235F40"/>
    <w:rsid w:val="002508AF"/>
    <w:rsid w:val="004A5233"/>
    <w:rsid w:val="004C046F"/>
    <w:rsid w:val="004C70C6"/>
    <w:rsid w:val="005070FC"/>
    <w:rsid w:val="00535865"/>
    <w:rsid w:val="0055335C"/>
    <w:rsid w:val="005B3C6F"/>
    <w:rsid w:val="005B7538"/>
    <w:rsid w:val="00617CAD"/>
    <w:rsid w:val="00786771"/>
    <w:rsid w:val="007B7181"/>
    <w:rsid w:val="008656DF"/>
    <w:rsid w:val="00883ADA"/>
    <w:rsid w:val="008B33F3"/>
    <w:rsid w:val="008C55DD"/>
    <w:rsid w:val="008F58C8"/>
    <w:rsid w:val="00914E11"/>
    <w:rsid w:val="0097782E"/>
    <w:rsid w:val="009A7C0C"/>
    <w:rsid w:val="009C1C4C"/>
    <w:rsid w:val="00A0277A"/>
    <w:rsid w:val="00A64116"/>
    <w:rsid w:val="00AE47BB"/>
    <w:rsid w:val="00BA59DC"/>
    <w:rsid w:val="00BD3ACF"/>
    <w:rsid w:val="00C01A74"/>
    <w:rsid w:val="00CF0075"/>
    <w:rsid w:val="00D3550A"/>
    <w:rsid w:val="00D6014F"/>
    <w:rsid w:val="00DB61D8"/>
    <w:rsid w:val="00E36A2D"/>
    <w:rsid w:val="00EB32DE"/>
    <w:rsid w:val="00F3408D"/>
    <w:rsid w:val="00F90E7C"/>
    <w:rsid w:val="0314FC0A"/>
    <w:rsid w:val="05BC2E78"/>
    <w:rsid w:val="072C184B"/>
    <w:rsid w:val="07B3BEAE"/>
    <w:rsid w:val="07BB7010"/>
    <w:rsid w:val="08EECEED"/>
    <w:rsid w:val="0B18E654"/>
    <w:rsid w:val="0CF32096"/>
    <w:rsid w:val="0E086B5E"/>
    <w:rsid w:val="125B6C7F"/>
    <w:rsid w:val="14E41048"/>
    <w:rsid w:val="15166062"/>
    <w:rsid w:val="1710202A"/>
    <w:rsid w:val="1763908B"/>
    <w:rsid w:val="179F16A9"/>
    <w:rsid w:val="1A083A96"/>
    <w:rsid w:val="1BF816BA"/>
    <w:rsid w:val="1E2B54AC"/>
    <w:rsid w:val="1F037BE0"/>
    <w:rsid w:val="2015F190"/>
    <w:rsid w:val="20BB177B"/>
    <w:rsid w:val="221889DE"/>
    <w:rsid w:val="22307EE1"/>
    <w:rsid w:val="2251911A"/>
    <w:rsid w:val="22B340EB"/>
    <w:rsid w:val="2435FF07"/>
    <w:rsid w:val="2600040E"/>
    <w:rsid w:val="26318788"/>
    <w:rsid w:val="266B7BFB"/>
    <w:rsid w:val="27A299F9"/>
    <w:rsid w:val="2B3A8A81"/>
    <w:rsid w:val="2C1C1B1C"/>
    <w:rsid w:val="2C7CDB51"/>
    <w:rsid w:val="2D397BE8"/>
    <w:rsid w:val="2DCF080C"/>
    <w:rsid w:val="2F6D1483"/>
    <w:rsid w:val="2F7732F4"/>
    <w:rsid w:val="3075D562"/>
    <w:rsid w:val="32179E23"/>
    <w:rsid w:val="3493C482"/>
    <w:rsid w:val="37CB1F83"/>
    <w:rsid w:val="3ACC1284"/>
    <w:rsid w:val="3B1F8299"/>
    <w:rsid w:val="3E83C7E3"/>
    <w:rsid w:val="3FB15AFB"/>
    <w:rsid w:val="3FB1D5DE"/>
    <w:rsid w:val="3FC1B534"/>
    <w:rsid w:val="409FD14C"/>
    <w:rsid w:val="40E2E0BA"/>
    <w:rsid w:val="4233E80F"/>
    <w:rsid w:val="42C087D1"/>
    <w:rsid w:val="436C1A24"/>
    <w:rsid w:val="44D03937"/>
    <w:rsid w:val="45E87579"/>
    <w:rsid w:val="48EB3396"/>
    <w:rsid w:val="4A7B7689"/>
    <w:rsid w:val="4C7BB79B"/>
    <w:rsid w:val="4CAD3C58"/>
    <w:rsid w:val="507483CE"/>
    <w:rsid w:val="53785ECC"/>
    <w:rsid w:val="55E9AF64"/>
    <w:rsid w:val="5A437D66"/>
    <w:rsid w:val="5AC48B7C"/>
    <w:rsid w:val="5B903297"/>
    <w:rsid w:val="5BD0CBCB"/>
    <w:rsid w:val="6095C807"/>
    <w:rsid w:val="6097BDD9"/>
    <w:rsid w:val="60AED4C8"/>
    <w:rsid w:val="630B834A"/>
    <w:rsid w:val="63385DB3"/>
    <w:rsid w:val="65FFB3D0"/>
    <w:rsid w:val="661C779E"/>
    <w:rsid w:val="67F223E5"/>
    <w:rsid w:val="69D02A4D"/>
    <w:rsid w:val="6B4E82E3"/>
    <w:rsid w:val="6D295B0A"/>
    <w:rsid w:val="722073C1"/>
    <w:rsid w:val="74E7A3FA"/>
    <w:rsid w:val="75BEB36F"/>
    <w:rsid w:val="75E06A59"/>
    <w:rsid w:val="7643997B"/>
    <w:rsid w:val="77AF7FAD"/>
    <w:rsid w:val="77D71E0C"/>
    <w:rsid w:val="79B51F89"/>
    <w:rsid w:val="7D50D6D1"/>
    <w:rsid w:val="7E64B60A"/>
    <w:rsid w:val="7F4C8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3B31A"/>
  <w15:chartTrackingRefBased/>
  <w15:docId w15:val="{54A83869-AD9B-4606-A64B-311A3750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0E2E0BA"/>
    <w:rPr>
      <w:color w:val="467886"/>
      <w:u w:val="single"/>
    </w:rPr>
  </w:style>
  <w:style w:type="paragraph" w:styleId="NoSpacing">
    <w:name w:val="No Spacing"/>
    <w:uiPriority w:val="1"/>
    <w:qFormat/>
    <w:rsid w:val="40E2E0BA"/>
    <w:pPr>
      <w:spacing w:after="0"/>
    </w:pPr>
  </w:style>
  <w:style w:type="paragraph" w:styleId="ListParagraph">
    <w:name w:val="List Paragraph"/>
    <w:basedOn w:val="Normal"/>
    <w:uiPriority w:val="34"/>
    <w:qFormat/>
    <w:rsid w:val="40E2E0B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0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head.ie/journal/The-Flipped-Classroom-Rationale-and-Approaches-for-Higher-Education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udublin.ie/explore/about-the-university/digital-education/digital-teaching-learning--assessment-tool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tudublin.sharepoint.com/sites/AcademicAffairsCalendarofEvents/SitePages/Upcoming-Training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udublin.ie/explore/about-the-university/digital-education/contac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F4FB18E386E41ABE8D01595554114" ma:contentTypeVersion="8" ma:contentTypeDescription="Create a new document." ma:contentTypeScope="" ma:versionID="c1bcf4bf14bce47591c74c811105b736">
  <xsd:schema xmlns:xsd="http://www.w3.org/2001/XMLSchema" xmlns:xs="http://www.w3.org/2001/XMLSchema" xmlns:p="http://schemas.microsoft.com/office/2006/metadata/properties" xmlns:ns2="9a15012d-c578-4421-8543-8baa4f7a1718" targetNamespace="http://schemas.microsoft.com/office/2006/metadata/properties" ma:root="true" ma:fieldsID="bdc5e65ddc1853de304875f5701cd52a" ns2:_="">
    <xsd:import namespace="9a15012d-c578-4421-8543-8baa4f7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5012d-c578-4421-8543-8baa4f7a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" ma:index="15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a15012d-c578-4421-8543-8baa4f7a1718" xsi:nil="true"/>
  </documentManagement>
</p:properties>
</file>

<file path=customXml/itemProps1.xml><?xml version="1.0" encoding="utf-8"?>
<ds:datastoreItem xmlns:ds="http://schemas.openxmlformats.org/officeDocument/2006/customXml" ds:itemID="{2A934DBC-71A6-48E5-974A-301D674F4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0B5DD-0019-4101-B0A4-FACC6051A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5012d-c578-4421-8543-8baa4f7a1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66BBD-9147-46DF-805C-BAA39688BC8D}">
  <ds:schemaRefs>
    <ds:schemaRef ds:uri="http://schemas.microsoft.com/office/2006/metadata/properties"/>
    <ds:schemaRef ds:uri="http://schemas.microsoft.com/office/infopath/2007/PartnerControls"/>
    <ds:schemaRef ds:uri="9a15012d-c578-4421-8543-8baa4f7a17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Boylan</dc:creator>
  <cp:keywords/>
  <dc:description/>
  <cp:lastModifiedBy>Frances Boylan</cp:lastModifiedBy>
  <cp:revision>5</cp:revision>
  <dcterms:created xsi:type="dcterms:W3CDTF">2026-02-16T09:22:00Z</dcterms:created>
  <dcterms:modified xsi:type="dcterms:W3CDTF">2026-02-16T15:16:00Z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0x01010037EF4FB18E386E41ABE8D01595554114</vt:lpwstr>
  </property>
</Properties>
</file>