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8361" w14:textId="442284AB" w:rsidR="00A64116" w:rsidRDefault="2B3A8A81" w:rsidP="7643997B">
      <w:pPr>
        <w:pStyle w:val="Heading1"/>
        <w:rPr>
          <w:rFonts w:ascii="Calibri" w:eastAsia="Calibri" w:hAnsi="Calibri" w:cs="Calibri"/>
        </w:rPr>
      </w:pPr>
      <w:r w:rsidRPr="7643997B">
        <w:rPr>
          <w:rFonts w:ascii="Calibri" w:eastAsia="Calibri" w:hAnsi="Calibri" w:cs="Calibri"/>
          <w:lang w:val="en-US"/>
        </w:rPr>
        <w:t>Mapping Content Types and Delivery Methods</w:t>
      </w:r>
      <w:r w:rsidR="630B834A" w:rsidRPr="7643997B">
        <w:rPr>
          <w:rFonts w:ascii="Calibri" w:eastAsia="Calibri" w:hAnsi="Calibri" w:cs="Calibri"/>
          <w:lang w:val="en-US"/>
        </w:rPr>
        <w:t xml:space="preserve"> - </w:t>
      </w:r>
      <w:r w:rsidR="002508AF">
        <w:rPr>
          <w:rFonts w:ascii="Calibri" w:eastAsia="Calibri" w:hAnsi="Calibri" w:cs="Calibri"/>
          <w:lang w:val="en-US"/>
        </w:rPr>
        <w:t>Online</w:t>
      </w:r>
      <w:r w:rsidR="630B834A" w:rsidRPr="7643997B">
        <w:rPr>
          <w:rFonts w:ascii="Calibri" w:eastAsia="Calibri" w:hAnsi="Calibri" w:cs="Calibri"/>
          <w:lang w:val="en-US"/>
        </w:rPr>
        <w:t xml:space="preserve"> Delivery</w:t>
      </w:r>
    </w:p>
    <w:p w14:paraId="55048A8B" w14:textId="4513F702" w:rsidR="00A64116" w:rsidRDefault="002508AF" w:rsidP="7643997B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If you are redesigning an in-person on-campus module to be offered fully online, you will need to make some decisions around the best approach</w:t>
      </w:r>
      <w:r w:rsidR="00235F40">
        <w:rPr>
          <w:rFonts w:ascii="Calibri" w:eastAsia="Calibri" w:hAnsi="Calibri" w:cs="Calibri"/>
          <w:color w:val="000000" w:themeColor="text1"/>
        </w:rPr>
        <w:t>es</w:t>
      </w:r>
      <w:r>
        <w:rPr>
          <w:rFonts w:ascii="Calibri" w:eastAsia="Calibri" w:hAnsi="Calibri" w:cs="Calibri"/>
          <w:color w:val="000000" w:themeColor="text1"/>
        </w:rPr>
        <w:t xml:space="preserve"> to take to </w:t>
      </w:r>
      <w:r w:rsidR="00E36A2D">
        <w:rPr>
          <w:rFonts w:ascii="Calibri" w:eastAsia="Calibri" w:hAnsi="Calibri" w:cs="Calibri"/>
          <w:color w:val="000000" w:themeColor="text1"/>
        </w:rPr>
        <w:t>content delivery.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48EB3396" w:rsidRPr="7643997B">
        <w:rPr>
          <w:rFonts w:ascii="Calibri" w:eastAsia="Calibri" w:hAnsi="Calibri" w:cs="Calibri"/>
          <w:color w:val="000000" w:themeColor="text1"/>
        </w:rPr>
        <w:t xml:space="preserve">The best way to </w:t>
      </w:r>
      <w:r w:rsidR="00E36A2D">
        <w:rPr>
          <w:rFonts w:ascii="Calibri" w:eastAsia="Calibri" w:hAnsi="Calibri" w:cs="Calibri"/>
          <w:color w:val="000000" w:themeColor="text1"/>
        </w:rPr>
        <w:t xml:space="preserve">begin this process </w:t>
      </w:r>
      <w:r w:rsidR="00235F40">
        <w:rPr>
          <w:rFonts w:ascii="Calibri" w:eastAsia="Calibri" w:hAnsi="Calibri" w:cs="Calibri"/>
          <w:color w:val="000000" w:themeColor="text1"/>
        </w:rPr>
        <w:t xml:space="preserve">is </w:t>
      </w:r>
      <w:r w:rsidR="00E36A2D">
        <w:rPr>
          <w:rFonts w:ascii="Calibri" w:eastAsia="Calibri" w:hAnsi="Calibri" w:cs="Calibri"/>
          <w:color w:val="000000" w:themeColor="text1"/>
        </w:rPr>
        <w:t xml:space="preserve">to </w:t>
      </w:r>
      <w:r w:rsidR="48EB3396" w:rsidRPr="7643997B">
        <w:rPr>
          <w:rFonts w:ascii="Calibri" w:eastAsia="Calibri" w:hAnsi="Calibri" w:cs="Calibri"/>
          <w:color w:val="000000" w:themeColor="text1"/>
        </w:rPr>
        <w:t>map each topic</w:t>
      </w:r>
      <w:r w:rsidR="7F4C8320" w:rsidRPr="7643997B">
        <w:rPr>
          <w:rFonts w:ascii="Calibri" w:eastAsia="Calibri" w:hAnsi="Calibri" w:cs="Calibri"/>
          <w:color w:val="000000" w:themeColor="text1"/>
        </w:rPr>
        <w:t xml:space="preserve"> and</w:t>
      </w:r>
      <w:r w:rsidR="48EB3396" w:rsidRPr="7643997B">
        <w:rPr>
          <w:rFonts w:ascii="Calibri" w:eastAsia="Calibri" w:hAnsi="Calibri" w:cs="Calibri"/>
          <w:color w:val="000000" w:themeColor="text1"/>
        </w:rPr>
        <w:t xml:space="preserve"> </w:t>
      </w:r>
      <w:r w:rsidR="00E36A2D">
        <w:rPr>
          <w:rFonts w:ascii="Calibri" w:eastAsia="Calibri" w:hAnsi="Calibri" w:cs="Calibri"/>
          <w:color w:val="000000" w:themeColor="text1"/>
        </w:rPr>
        <w:t xml:space="preserve">its </w:t>
      </w:r>
      <w:r w:rsidR="48EB3396" w:rsidRPr="7643997B">
        <w:rPr>
          <w:rFonts w:ascii="Calibri" w:eastAsia="Calibri" w:hAnsi="Calibri" w:cs="Calibri"/>
          <w:color w:val="000000" w:themeColor="text1"/>
        </w:rPr>
        <w:t xml:space="preserve">associated learning </w:t>
      </w:r>
      <w:proofErr w:type="gramStart"/>
      <w:r w:rsidR="48EB3396" w:rsidRPr="7643997B">
        <w:rPr>
          <w:rFonts w:ascii="Calibri" w:eastAsia="Calibri" w:hAnsi="Calibri" w:cs="Calibri"/>
          <w:color w:val="000000" w:themeColor="text1"/>
        </w:rPr>
        <w:t>objectives</w:t>
      </w:r>
      <w:r w:rsidR="000E079C">
        <w:rPr>
          <w:rFonts w:ascii="Calibri" w:eastAsia="Calibri" w:hAnsi="Calibri" w:cs="Calibri"/>
          <w:color w:val="000000" w:themeColor="text1"/>
        </w:rPr>
        <w:t>, and</w:t>
      </w:r>
      <w:proofErr w:type="gramEnd"/>
      <w:r w:rsidR="00E36A2D">
        <w:rPr>
          <w:rFonts w:ascii="Calibri" w:eastAsia="Calibri" w:hAnsi="Calibri" w:cs="Calibri"/>
          <w:color w:val="000000" w:themeColor="text1"/>
        </w:rPr>
        <w:t xml:space="preserve"> </w:t>
      </w:r>
      <w:r w:rsidR="00235F40">
        <w:rPr>
          <w:rFonts w:ascii="Calibri" w:eastAsia="Calibri" w:hAnsi="Calibri" w:cs="Calibri"/>
          <w:color w:val="000000" w:themeColor="text1"/>
        </w:rPr>
        <w:t xml:space="preserve">review the existing </w:t>
      </w:r>
      <w:r w:rsidR="60AED4C8" w:rsidRPr="7643997B">
        <w:rPr>
          <w:rFonts w:ascii="Calibri" w:eastAsia="Calibri" w:hAnsi="Calibri" w:cs="Calibri"/>
          <w:color w:val="000000" w:themeColor="text1"/>
        </w:rPr>
        <w:t>content types and delivery methods</w:t>
      </w:r>
      <w:r w:rsidR="000E079C">
        <w:rPr>
          <w:rFonts w:ascii="Calibri" w:eastAsia="Calibri" w:hAnsi="Calibri" w:cs="Calibri"/>
          <w:color w:val="000000" w:themeColor="text1"/>
        </w:rPr>
        <w:t xml:space="preserve"> for each,</w:t>
      </w:r>
      <w:r w:rsidR="60AED4C8" w:rsidRPr="7643997B">
        <w:rPr>
          <w:rFonts w:ascii="Calibri" w:eastAsia="Calibri" w:hAnsi="Calibri" w:cs="Calibri"/>
          <w:color w:val="000000" w:themeColor="text1"/>
        </w:rPr>
        <w:t xml:space="preserve"> </w:t>
      </w:r>
      <w:r w:rsidR="00E36A2D">
        <w:rPr>
          <w:rFonts w:ascii="Calibri" w:eastAsia="Calibri" w:hAnsi="Calibri" w:cs="Calibri"/>
          <w:color w:val="000000" w:themeColor="text1"/>
        </w:rPr>
        <w:t xml:space="preserve">in the in-person on-campus </w:t>
      </w:r>
      <w:r w:rsidR="000E079C">
        <w:rPr>
          <w:rFonts w:ascii="Calibri" w:eastAsia="Calibri" w:hAnsi="Calibri" w:cs="Calibri"/>
          <w:color w:val="000000" w:themeColor="text1"/>
        </w:rPr>
        <w:t xml:space="preserve">environment </w:t>
      </w:r>
      <w:r w:rsidR="00E36A2D">
        <w:rPr>
          <w:rFonts w:ascii="Calibri" w:eastAsia="Calibri" w:hAnsi="Calibri" w:cs="Calibri"/>
          <w:color w:val="000000" w:themeColor="text1"/>
        </w:rPr>
        <w:t>and</w:t>
      </w:r>
      <w:r w:rsidR="00235F40">
        <w:rPr>
          <w:rFonts w:ascii="Calibri" w:eastAsia="Calibri" w:hAnsi="Calibri" w:cs="Calibri"/>
          <w:color w:val="000000" w:themeColor="text1"/>
        </w:rPr>
        <w:t xml:space="preserve"> possible alternatives in the</w:t>
      </w:r>
      <w:r w:rsidR="00E36A2D">
        <w:rPr>
          <w:rFonts w:ascii="Calibri" w:eastAsia="Calibri" w:hAnsi="Calibri" w:cs="Calibri"/>
          <w:color w:val="000000" w:themeColor="text1"/>
        </w:rPr>
        <w:t xml:space="preserve"> online learning environment. </w:t>
      </w:r>
      <w:r w:rsidR="3493C482" w:rsidRPr="7643997B">
        <w:rPr>
          <w:rFonts w:ascii="Calibri" w:eastAsia="Calibri" w:hAnsi="Calibri" w:cs="Calibri"/>
          <w:color w:val="000000" w:themeColor="text1"/>
        </w:rPr>
        <w:t xml:space="preserve">If you tick ‘No’ in any of the columns </w:t>
      </w:r>
      <w:r w:rsidR="4A7B7689" w:rsidRPr="7643997B">
        <w:rPr>
          <w:rFonts w:ascii="Calibri" w:eastAsia="Calibri" w:hAnsi="Calibri" w:cs="Calibri"/>
          <w:color w:val="000000" w:themeColor="text1"/>
        </w:rPr>
        <w:t>in the template below</w:t>
      </w:r>
      <w:r w:rsidR="3493C482" w:rsidRPr="7643997B">
        <w:rPr>
          <w:rFonts w:ascii="Calibri" w:eastAsia="Calibri" w:hAnsi="Calibri" w:cs="Calibri"/>
          <w:color w:val="000000" w:themeColor="text1"/>
        </w:rPr>
        <w:t>, then make a note of what alternative content types must be</w:t>
      </w:r>
      <w:r w:rsidR="2DCF080C" w:rsidRPr="7643997B">
        <w:rPr>
          <w:rFonts w:ascii="Calibri" w:eastAsia="Calibri" w:hAnsi="Calibri" w:cs="Calibri"/>
          <w:color w:val="000000" w:themeColor="text1"/>
        </w:rPr>
        <w:t xml:space="preserve"> create</w:t>
      </w:r>
      <w:r w:rsidR="2C1C1B1C" w:rsidRPr="7643997B">
        <w:rPr>
          <w:rFonts w:ascii="Calibri" w:eastAsia="Calibri" w:hAnsi="Calibri" w:cs="Calibri"/>
          <w:color w:val="000000" w:themeColor="text1"/>
        </w:rPr>
        <w:t>d,</w:t>
      </w:r>
      <w:r w:rsidR="2DCF080C" w:rsidRPr="7643997B">
        <w:rPr>
          <w:rFonts w:ascii="Calibri" w:eastAsia="Calibri" w:hAnsi="Calibri" w:cs="Calibri"/>
          <w:color w:val="000000" w:themeColor="text1"/>
        </w:rPr>
        <w:t xml:space="preserve"> or which </w:t>
      </w:r>
      <w:r w:rsidR="3075D562" w:rsidRPr="7643997B">
        <w:rPr>
          <w:rFonts w:ascii="Calibri" w:eastAsia="Calibri" w:hAnsi="Calibri" w:cs="Calibri"/>
          <w:color w:val="000000" w:themeColor="text1"/>
        </w:rPr>
        <w:t>delivery</w:t>
      </w:r>
      <w:r w:rsidR="2DCF080C" w:rsidRPr="7643997B">
        <w:rPr>
          <w:rFonts w:ascii="Calibri" w:eastAsia="Calibri" w:hAnsi="Calibri" w:cs="Calibri"/>
          <w:color w:val="000000" w:themeColor="text1"/>
        </w:rPr>
        <w:t xml:space="preserve"> methods need to be reconsidered. </w:t>
      </w:r>
    </w:p>
    <w:tbl>
      <w:tblPr>
        <w:tblStyle w:val="TableGrid"/>
        <w:tblW w:w="1515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1620"/>
        <w:gridCol w:w="2415"/>
        <w:gridCol w:w="3605"/>
        <w:gridCol w:w="3827"/>
        <w:gridCol w:w="3686"/>
      </w:tblGrid>
      <w:tr w:rsidR="00C01A74" w14:paraId="393D1EB6" w14:textId="77777777" w:rsidTr="000E19E3">
        <w:trPr>
          <w:trHeight w:val="892"/>
        </w:trPr>
        <w:tc>
          <w:tcPr>
            <w:tcW w:w="1620" w:type="dxa"/>
            <w:shd w:val="clear" w:color="auto" w:fill="501549" w:themeFill="accent5" w:themeFillShade="80"/>
            <w:tcMar>
              <w:left w:w="105" w:type="dxa"/>
              <w:right w:w="105" w:type="dxa"/>
            </w:tcMar>
          </w:tcPr>
          <w:p w14:paraId="4D5AF46D" w14:textId="765C976D" w:rsidR="00C01A74" w:rsidRPr="000E19E3" w:rsidRDefault="00C01A74" w:rsidP="7643997B">
            <w:pPr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000E19E3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List of Topics</w:t>
            </w:r>
          </w:p>
        </w:tc>
        <w:tc>
          <w:tcPr>
            <w:tcW w:w="2415" w:type="dxa"/>
            <w:shd w:val="clear" w:color="auto" w:fill="501549" w:themeFill="accent5" w:themeFillShade="80"/>
            <w:tcMar>
              <w:left w:w="105" w:type="dxa"/>
              <w:right w:w="105" w:type="dxa"/>
            </w:tcMar>
          </w:tcPr>
          <w:p w14:paraId="661FE6F2" w14:textId="35E36536" w:rsidR="00C01A74" w:rsidRPr="000E19E3" w:rsidRDefault="00C01A74" w:rsidP="7643997B">
            <w:pPr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000E19E3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Learning Objective(s) associated with each topic</w:t>
            </w:r>
          </w:p>
        </w:tc>
        <w:tc>
          <w:tcPr>
            <w:tcW w:w="3605" w:type="dxa"/>
            <w:shd w:val="clear" w:color="auto" w:fill="501549" w:themeFill="accent5" w:themeFillShade="80"/>
            <w:tcMar>
              <w:left w:w="105" w:type="dxa"/>
              <w:right w:w="105" w:type="dxa"/>
            </w:tcMar>
          </w:tcPr>
          <w:p w14:paraId="0D68D219" w14:textId="7DD2171C" w:rsidR="00C01A74" w:rsidRPr="000E19E3" w:rsidRDefault="00C01A74" w:rsidP="7643997B">
            <w:pPr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000E19E3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Current in-person, on-campus, content type and delivery method</w:t>
            </w:r>
          </w:p>
        </w:tc>
        <w:tc>
          <w:tcPr>
            <w:tcW w:w="3827" w:type="dxa"/>
            <w:shd w:val="clear" w:color="auto" w:fill="501549" w:themeFill="accent5" w:themeFillShade="80"/>
            <w:tcMar>
              <w:left w:w="105" w:type="dxa"/>
              <w:right w:w="105" w:type="dxa"/>
            </w:tcMar>
          </w:tcPr>
          <w:p w14:paraId="4243AB04" w14:textId="27717024" w:rsidR="00C01A74" w:rsidRPr="000E19E3" w:rsidRDefault="00C01A74" w:rsidP="00C01A74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000E19E3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Online Synchronous </w:t>
            </w:r>
          </w:p>
          <w:p w14:paraId="40591651" w14:textId="19C91F00" w:rsidR="00C01A74" w:rsidRPr="000E19E3" w:rsidRDefault="00C01A74" w:rsidP="00C01A74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501549" w:themeFill="accent5" w:themeFillShade="80"/>
            <w:tcMar>
              <w:left w:w="105" w:type="dxa"/>
              <w:right w:w="105" w:type="dxa"/>
            </w:tcMar>
          </w:tcPr>
          <w:p w14:paraId="74402558" w14:textId="68421E8A" w:rsidR="00C01A74" w:rsidRPr="000E19E3" w:rsidRDefault="00C01A74" w:rsidP="00C01A74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  <w:r w:rsidRPr="000E19E3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Online Asynchronous</w:t>
            </w:r>
          </w:p>
          <w:p w14:paraId="50632358" w14:textId="392E0343" w:rsidR="00C01A74" w:rsidRPr="000E19E3" w:rsidRDefault="00C01A74" w:rsidP="00C01A74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22"/>
                <w:szCs w:val="22"/>
              </w:rPr>
            </w:pPr>
          </w:p>
        </w:tc>
      </w:tr>
      <w:tr w:rsidR="00C01A74" w14:paraId="1097CBDE" w14:textId="77777777" w:rsidTr="00C01A74">
        <w:trPr>
          <w:trHeight w:val="867"/>
        </w:trPr>
        <w:tc>
          <w:tcPr>
            <w:tcW w:w="1620" w:type="dxa"/>
            <w:tcMar>
              <w:left w:w="105" w:type="dxa"/>
              <w:right w:w="105" w:type="dxa"/>
            </w:tcMar>
          </w:tcPr>
          <w:p w14:paraId="12880744" w14:textId="5770A079" w:rsidR="00C01A74" w:rsidRDefault="00C01A74" w:rsidP="7643997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7643997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Topic 1</w:t>
            </w:r>
          </w:p>
        </w:tc>
        <w:tc>
          <w:tcPr>
            <w:tcW w:w="2415" w:type="dxa"/>
            <w:tcMar>
              <w:left w:w="105" w:type="dxa"/>
              <w:right w:w="105" w:type="dxa"/>
            </w:tcMar>
          </w:tcPr>
          <w:p w14:paraId="4E20B35C" w14:textId="33482532" w:rsidR="00C01A74" w:rsidRDefault="00C01A74" w:rsidP="7643997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7643997B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LO1</w:t>
            </w:r>
            <w:r>
              <w:br/>
            </w:r>
          </w:p>
        </w:tc>
        <w:tc>
          <w:tcPr>
            <w:tcW w:w="3605" w:type="dxa"/>
            <w:tcMar>
              <w:left w:w="105" w:type="dxa"/>
              <w:right w:w="105" w:type="dxa"/>
            </w:tcMar>
          </w:tcPr>
          <w:p w14:paraId="2B7351B9" w14:textId="4C6E801E" w:rsidR="00C01A74" w:rsidRPr="008C55DD" w:rsidRDefault="008C55DD" w:rsidP="7643997B">
            <w:pP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[</w:t>
            </w:r>
            <w:r w:rsidR="00C01A74" w:rsidRPr="008C55DD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Example: Static PPT, projected during live lecture</w:t>
            </w:r>
            <w: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]</w:t>
            </w:r>
          </w:p>
        </w:tc>
        <w:tc>
          <w:tcPr>
            <w:tcW w:w="3827" w:type="dxa"/>
            <w:tcMar>
              <w:left w:w="105" w:type="dxa"/>
              <w:right w:w="105" w:type="dxa"/>
            </w:tcMar>
          </w:tcPr>
          <w:p w14:paraId="7583EAF5" w14:textId="77777777" w:rsidR="00C01A74" w:rsidRPr="008F58C8" w:rsidRDefault="00EB32DE" w:rsidP="00EB32DE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Will this translate as is to the online synchronous environment?</w:t>
            </w:r>
          </w:p>
          <w:p w14:paraId="1775A81D" w14:textId="77777777" w:rsidR="00EB32DE" w:rsidRPr="008F58C8" w:rsidRDefault="00EB32DE" w:rsidP="00EB32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260796" w14:textId="2E478965" w:rsidR="008F58C8" w:rsidRPr="008F58C8" w:rsidRDefault="00EB32DE" w:rsidP="00EB32DE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Yes</w:t>
            </w:r>
            <w:r w:rsidR="008F58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F58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156097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8C8" w:rsidRPr="008F58C8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0E20FE30" w14:textId="6C0B2C8C" w:rsidR="008F58C8" w:rsidRPr="008F58C8" w:rsidRDefault="008F58C8" w:rsidP="00EB32DE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-212153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8C8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19302019" w14:textId="72186E2C" w:rsidR="00EB32DE" w:rsidRPr="008F58C8" w:rsidRDefault="00EB32DE" w:rsidP="00EB32DE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N/A</w:t>
            </w:r>
            <w:r w:rsidR="008F58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-134253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8C8" w:rsidRPr="008F58C8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431FA20E" w14:textId="19C27EC7" w:rsidR="00EB32DE" w:rsidRPr="008F58C8" w:rsidRDefault="00EB32DE" w:rsidP="00EB32D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6" w:type="dxa"/>
            <w:tcMar>
              <w:left w:w="105" w:type="dxa"/>
              <w:right w:w="105" w:type="dxa"/>
            </w:tcMar>
          </w:tcPr>
          <w:p w14:paraId="19725EA0" w14:textId="1D54D442" w:rsidR="00EB32DE" w:rsidRPr="008F58C8" w:rsidRDefault="00EB32DE" w:rsidP="00EB32DE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Will this translate as is to the online synchronous environment (if required)?</w:t>
            </w:r>
          </w:p>
          <w:p w14:paraId="7AAD402B" w14:textId="77777777" w:rsidR="008F58C8" w:rsidRPr="008F58C8" w:rsidRDefault="008F58C8" w:rsidP="008F58C8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F58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-166253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8C8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6383A7DB" w14:textId="791CD152" w:rsidR="008F58C8" w:rsidRPr="008F58C8" w:rsidRDefault="008F58C8" w:rsidP="008F58C8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-80369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8C8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6A0FF52C" w14:textId="04527A91" w:rsidR="00EB32DE" w:rsidRPr="008F58C8" w:rsidRDefault="008F58C8" w:rsidP="00EB32DE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N/A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-1700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8C8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  <w:r w:rsidRPr="008F58C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C01A74" w14:paraId="081CD1A5" w14:textId="77777777" w:rsidTr="00C01A74">
        <w:trPr>
          <w:trHeight w:val="300"/>
        </w:trPr>
        <w:tc>
          <w:tcPr>
            <w:tcW w:w="16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E0FF334" w14:textId="77777777" w:rsidR="00C01A74" w:rsidRDefault="00C01A74" w:rsidP="7643997B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4F1D673" w14:textId="77777777" w:rsidR="00C01A74" w:rsidRDefault="00C01A74" w:rsidP="7643997B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6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2AFAAA3" w14:textId="1C85225B" w:rsidR="00C01A74" w:rsidRPr="008F58C8" w:rsidRDefault="00EB32DE" w:rsidP="005B3C6F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F58C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If no, note a</w:t>
            </w:r>
            <w:r w:rsidR="00C01A74" w:rsidRPr="008F58C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lternative content types that need to be created and/or delivery methods that need to be considered</w:t>
            </w:r>
          </w:p>
          <w:p w14:paraId="2CBCDB56" w14:textId="0D5E6450" w:rsidR="00C01A74" w:rsidRPr="005B3C6F" w:rsidRDefault="00C01A74" w:rsidP="005B3C6F">
            <w:pPr>
              <w:rPr>
                <w:rFonts w:ascii="Calibri" w:eastAsia="Calibri" w:hAnsi="Calibri" w:cs="Calibri"/>
                <w:i/>
                <w:i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588F4AB" w14:textId="77777777" w:rsidR="00C01A74" w:rsidRPr="008F58C8" w:rsidRDefault="00C01A74" w:rsidP="00EB32D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D184BB2" w14:textId="77777777" w:rsidR="00C01A74" w:rsidRPr="008F58C8" w:rsidRDefault="00C01A74" w:rsidP="00EB32D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EB32DE" w14:paraId="447FE3B9" w14:textId="77777777" w:rsidTr="00C01A74">
        <w:trPr>
          <w:trHeight w:val="300"/>
        </w:trPr>
        <w:tc>
          <w:tcPr>
            <w:tcW w:w="16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6468866" w14:textId="77777777" w:rsidR="00EB32DE" w:rsidRDefault="00EB32DE" w:rsidP="00EB32D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AEB6979" w14:textId="77777777" w:rsidR="00EB32DE" w:rsidRDefault="00EB32DE" w:rsidP="00EB32D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6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F154827" w14:textId="3E8B0A72" w:rsidR="00EB32DE" w:rsidRPr="008C55DD" w:rsidRDefault="008C55DD" w:rsidP="00EB32DE">
            <w:pP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[</w:t>
            </w:r>
            <w:r w:rsidR="00EB32DE" w:rsidRPr="008C55DD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Example: Live demo during live lecture</w:t>
            </w:r>
            <w: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]</w:t>
            </w:r>
          </w:p>
          <w:p w14:paraId="343A3E8B" w14:textId="227D33D9" w:rsidR="00EB32DE" w:rsidRPr="008C55DD" w:rsidRDefault="00EB32DE" w:rsidP="00EB32DE">
            <w:pP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F487963" w14:textId="77777777" w:rsidR="00EB32DE" w:rsidRDefault="00EB32DE" w:rsidP="00EB32DE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Will this translate as is to the online synchronous environment?</w:t>
            </w:r>
          </w:p>
          <w:p w14:paraId="0F1DCB0E" w14:textId="77777777" w:rsidR="008F58C8" w:rsidRPr="008F58C8" w:rsidRDefault="008F58C8" w:rsidP="00EB32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4DA9BB" w14:textId="0678A446" w:rsidR="008F58C8" w:rsidRDefault="008F58C8" w:rsidP="008F58C8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F58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-133213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  <w:r w:rsidRPr="008F58C8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03DB0113" w14:textId="561FCA5C" w:rsidR="008F58C8" w:rsidRPr="008F58C8" w:rsidRDefault="008F58C8" w:rsidP="008F58C8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-11979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03C4DE98" w14:textId="77777777" w:rsidR="008F58C8" w:rsidRPr="008F58C8" w:rsidRDefault="008F58C8" w:rsidP="008F58C8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N/A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32903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8C8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5A6592E5" w14:textId="77777777" w:rsidR="00EB32DE" w:rsidRPr="008F58C8" w:rsidRDefault="00EB32DE" w:rsidP="00EB32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151FA4" w14:textId="3D257C9F" w:rsidR="00EB32DE" w:rsidRPr="008F58C8" w:rsidRDefault="00EB32DE" w:rsidP="00EB32D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055D1AE" w14:textId="77777777" w:rsidR="00EB32DE" w:rsidRPr="008F58C8" w:rsidRDefault="00EB32DE" w:rsidP="00EB32DE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Will this translate as is to the online synchronous environment (if required)?</w:t>
            </w:r>
          </w:p>
          <w:p w14:paraId="6DCAFC82" w14:textId="5AE5676C" w:rsidR="008F58C8" w:rsidRPr="008F58C8" w:rsidRDefault="008F58C8" w:rsidP="008F58C8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Yes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F58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169812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1F45FF6A" w14:textId="77777777" w:rsidR="008F58C8" w:rsidRPr="008F58C8" w:rsidRDefault="008F58C8" w:rsidP="008F58C8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-176591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8C8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5B644678" w14:textId="77777777" w:rsidR="008F58C8" w:rsidRPr="008F58C8" w:rsidRDefault="008F58C8" w:rsidP="008F58C8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N/A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-8554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F58C8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0DE926BD" w14:textId="64C38DD8" w:rsidR="00EB32DE" w:rsidRPr="008F58C8" w:rsidRDefault="00EB32DE" w:rsidP="00EB32D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B32DE" w14:paraId="49D5669E" w14:textId="77777777" w:rsidTr="00C01A74">
        <w:trPr>
          <w:trHeight w:val="300"/>
        </w:trPr>
        <w:tc>
          <w:tcPr>
            <w:tcW w:w="16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26A3DCE" w14:textId="77777777" w:rsidR="00EB32DE" w:rsidRDefault="00EB32DE" w:rsidP="00EB32D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0D1C1AE" w14:textId="77777777" w:rsidR="00EB32DE" w:rsidRDefault="00EB32DE" w:rsidP="00EB32D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6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9F00A7" w14:textId="77777777" w:rsidR="00EB32DE" w:rsidRPr="008F58C8" w:rsidRDefault="00EB32DE" w:rsidP="00EB32D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F58C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If no, note alternative content types that need to be created and/or delivery methods that need to be considered</w:t>
            </w:r>
          </w:p>
          <w:p w14:paraId="4A0012BE" w14:textId="3DD73E04" w:rsidR="00EB32DE" w:rsidRPr="005B3C6F" w:rsidRDefault="00EB32DE" w:rsidP="00EB32DE">
            <w:pPr>
              <w:rPr>
                <w:rFonts w:ascii="Calibri" w:eastAsia="Calibri" w:hAnsi="Calibri" w:cs="Calibri"/>
                <w:i/>
                <w:iCs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3557DB2" w14:textId="77777777" w:rsidR="00EB32DE" w:rsidRPr="008F58C8" w:rsidRDefault="00EB32DE" w:rsidP="00EB32D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3ED835E" w14:textId="77777777" w:rsidR="00EB32DE" w:rsidRPr="008F58C8" w:rsidRDefault="00EB32DE" w:rsidP="00EB32DE">
            <w:pPr>
              <w:rPr>
                <w:rFonts w:ascii="Calibri" w:hAnsi="Calibri" w:cs="Calibri"/>
                <w:noProof/>
                <w:sz w:val="22"/>
                <w:szCs w:val="22"/>
              </w:rPr>
            </w:pPr>
          </w:p>
        </w:tc>
      </w:tr>
      <w:tr w:rsidR="00EB32DE" w14:paraId="14A5D0ED" w14:textId="77777777" w:rsidTr="00C01A74">
        <w:trPr>
          <w:trHeight w:val="300"/>
        </w:trPr>
        <w:tc>
          <w:tcPr>
            <w:tcW w:w="16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E7E6F08" w14:textId="77777777" w:rsidR="00EB32DE" w:rsidRDefault="00EB32DE" w:rsidP="00EB32D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3766897" w14:textId="77777777" w:rsidR="00EB32DE" w:rsidRDefault="00EB32DE" w:rsidP="00EB32D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6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D931ABC" w14:textId="1F45048C" w:rsidR="00EB32DE" w:rsidRPr="008C55DD" w:rsidRDefault="008C55DD" w:rsidP="00EB32DE">
            <w:pP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[</w:t>
            </w:r>
            <w:r w:rsidR="00EB32DE" w:rsidRPr="008C55DD"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Example: Video for pre-lecture watching</w:t>
            </w:r>
            <w: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  <w:t>]</w:t>
            </w:r>
          </w:p>
          <w:p w14:paraId="709724DF" w14:textId="383AD5B6" w:rsidR="00EB32DE" w:rsidRPr="008C55DD" w:rsidRDefault="00EB32DE" w:rsidP="00EB32DE">
            <w:pPr>
              <w:rPr>
                <w:rFonts w:ascii="Calibri" w:eastAsia="Calibri" w:hAnsi="Calibri" w:cs="Calibri"/>
                <w:i/>
                <w:iCs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95A9626" w14:textId="5CDA5F2F" w:rsidR="00EB32DE" w:rsidRPr="008F58C8" w:rsidRDefault="00EB32DE" w:rsidP="00EB32DE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Will this translate as is to the online synchronous environment?</w:t>
            </w:r>
          </w:p>
          <w:p w14:paraId="66212A72" w14:textId="77777777" w:rsidR="008F58C8" w:rsidRPr="008F58C8" w:rsidRDefault="008F58C8" w:rsidP="00EB32DE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38335A" w14:textId="0819B250" w:rsidR="008F58C8" w:rsidRPr="008F58C8" w:rsidRDefault="00EB32DE" w:rsidP="00EB32DE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Yes</w:t>
            </w:r>
            <w:r w:rsidR="008F58C8" w:rsidRPr="008F58C8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-51183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8C8" w:rsidRPr="008F58C8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5F579A76" w14:textId="66353361" w:rsidR="008F58C8" w:rsidRPr="008F58C8" w:rsidRDefault="00EB32DE" w:rsidP="00EB32DE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No</w:t>
            </w:r>
            <w:r w:rsidR="008F58C8" w:rsidRPr="008F58C8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160360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8C8" w:rsidRPr="008F58C8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733EF496" w14:textId="17E2693B" w:rsidR="00EB32DE" w:rsidRPr="008F58C8" w:rsidRDefault="00EB32DE" w:rsidP="00EB32DE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N/A</w:t>
            </w:r>
            <w:r w:rsidR="008F58C8" w:rsidRPr="008F58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-41779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8C8" w:rsidRPr="008F58C8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342AB426" w14:textId="2DBD8529" w:rsidR="00EB32DE" w:rsidRPr="008F58C8" w:rsidRDefault="00EB32DE" w:rsidP="00EB32D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B4C9029" w14:textId="77777777" w:rsidR="00EB32DE" w:rsidRPr="008F58C8" w:rsidRDefault="00EB32DE" w:rsidP="00EB32DE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Will this translate as is to the online synchronous environment (if required)?</w:t>
            </w:r>
          </w:p>
          <w:p w14:paraId="62E6B92D" w14:textId="3303A7C2" w:rsidR="008F58C8" w:rsidRPr="008F58C8" w:rsidRDefault="00EB32DE" w:rsidP="00EB32DE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Yes</w:t>
            </w:r>
            <w:r w:rsidR="008F58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-77556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8C8" w:rsidRPr="008F58C8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23936459" w14:textId="37E42A07" w:rsidR="008F58C8" w:rsidRPr="008F58C8" w:rsidRDefault="00EB32DE" w:rsidP="00EB32DE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No</w:t>
            </w:r>
            <w:r w:rsidR="008F58C8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76219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8C8" w:rsidRPr="008F58C8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33433D93" w14:textId="1CAA0204" w:rsidR="00EB32DE" w:rsidRPr="008F58C8" w:rsidRDefault="00EB32DE" w:rsidP="00EB32DE">
            <w:pPr>
              <w:rPr>
                <w:rFonts w:ascii="Calibri" w:hAnsi="Calibri" w:cs="Calibri"/>
                <w:sz w:val="22"/>
                <w:szCs w:val="22"/>
              </w:rPr>
            </w:pPr>
            <w:r w:rsidRPr="008F58C8">
              <w:rPr>
                <w:rFonts w:ascii="Calibri" w:hAnsi="Calibri" w:cs="Calibri"/>
                <w:sz w:val="22"/>
                <w:szCs w:val="22"/>
              </w:rPr>
              <w:t>N/A</w:t>
            </w:r>
            <w:r w:rsidR="008F58C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36"/>
                  <w:szCs w:val="36"/>
                </w:rPr>
                <w:id w:val="132863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F58C8" w:rsidRPr="008F58C8">
                  <w:rPr>
                    <w:rFonts w:ascii="MS Gothic" w:eastAsia="MS Gothic" w:hAnsi="MS Gothic" w:cs="Calibri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78DB6B06" w14:textId="5AAA3116" w:rsidR="00EB32DE" w:rsidRPr="008F58C8" w:rsidRDefault="00EB32DE" w:rsidP="00EB32D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B32DE" w14:paraId="3256809A" w14:textId="77777777" w:rsidTr="00C01A74">
        <w:trPr>
          <w:trHeight w:val="300"/>
        </w:trPr>
        <w:tc>
          <w:tcPr>
            <w:tcW w:w="16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2C7A86B" w14:textId="77777777" w:rsidR="00EB32DE" w:rsidRDefault="00EB32DE" w:rsidP="00EB32D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41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94E6D1" w14:textId="77777777" w:rsidR="00EB32DE" w:rsidRDefault="00EB32DE" w:rsidP="00EB32D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6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FE908E4" w14:textId="77777777" w:rsidR="00EB32DE" w:rsidRPr="008F58C8" w:rsidRDefault="00EB32DE" w:rsidP="00EB32D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F58C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If no, note alternative content types that need to be created and/or delivery methods that need to be considered</w:t>
            </w:r>
          </w:p>
          <w:p w14:paraId="6B67A083" w14:textId="0572E9A3" w:rsidR="00EB32DE" w:rsidRPr="7643997B" w:rsidRDefault="00EB32DE" w:rsidP="00EB32DE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0F5C23B" w14:textId="77777777" w:rsidR="00EB32DE" w:rsidRPr="00EB32DE" w:rsidRDefault="00EB32DE" w:rsidP="00EB32DE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12778EB" w14:textId="77777777" w:rsidR="00EB32DE" w:rsidRPr="00EB32DE" w:rsidRDefault="00EB32DE" w:rsidP="00EB32DE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32DE" w14:paraId="3B4EBE2B" w14:textId="77777777" w:rsidTr="00C01A74">
        <w:trPr>
          <w:trHeight w:val="300"/>
        </w:trPr>
        <w:tc>
          <w:tcPr>
            <w:tcW w:w="16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DE9A86D" w14:textId="44ECAAA1" w:rsidR="00EB32DE" w:rsidRDefault="00EB32DE" w:rsidP="00EB32D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Topic 1</w:t>
            </w:r>
          </w:p>
        </w:tc>
        <w:tc>
          <w:tcPr>
            <w:tcW w:w="241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18EDD07" w14:textId="11CBB5DE" w:rsidR="00EB32DE" w:rsidRDefault="00EB32DE" w:rsidP="00EB32D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LO2</w:t>
            </w:r>
          </w:p>
        </w:tc>
        <w:tc>
          <w:tcPr>
            <w:tcW w:w="36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9C828F0" w14:textId="06AF47B3" w:rsidR="00EB32DE" w:rsidRDefault="00EB32DE" w:rsidP="00EB32D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72597E1" w14:textId="53160B28" w:rsidR="00EB32DE" w:rsidRPr="00EB32DE" w:rsidRDefault="00EB32DE" w:rsidP="00EB32DE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D958B4B" w14:textId="413CC191" w:rsidR="00EB32DE" w:rsidRPr="00EB32DE" w:rsidRDefault="00EB32DE" w:rsidP="00EB32DE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B32DE" w14:paraId="7A88EE0C" w14:textId="77777777" w:rsidTr="00C01A74">
        <w:trPr>
          <w:trHeight w:val="300"/>
        </w:trPr>
        <w:tc>
          <w:tcPr>
            <w:tcW w:w="16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64E5A0B" w14:textId="118AFFF3" w:rsidR="00EB32DE" w:rsidRDefault="00EB32DE" w:rsidP="00EB32D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Topic 2</w:t>
            </w:r>
          </w:p>
        </w:tc>
        <w:tc>
          <w:tcPr>
            <w:tcW w:w="241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56E110DE" w14:textId="23CAA739" w:rsidR="00EB32DE" w:rsidRDefault="00EB32DE" w:rsidP="00EB32D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LO1</w:t>
            </w:r>
          </w:p>
        </w:tc>
        <w:tc>
          <w:tcPr>
            <w:tcW w:w="36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350E952" w14:textId="77777777" w:rsidR="00EB32DE" w:rsidRDefault="00EB32DE" w:rsidP="00EB32D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2213AC02" w14:textId="77777777" w:rsidR="00EB32DE" w:rsidRPr="00EB32DE" w:rsidRDefault="00EB32DE" w:rsidP="00EB32DE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7BA8B8F" w14:textId="77777777" w:rsidR="00EB32DE" w:rsidRPr="00EB32DE" w:rsidRDefault="00EB32DE" w:rsidP="00EB32DE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EB32DE" w14:paraId="6AC636B4" w14:textId="77777777" w:rsidTr="00C01A74">
        <w:trPr>
          <w:trHeight w:val="300"/>
        </w:trPr>
        <w:tc>
          <w:tcPr>
            <w:tcW w:w="1620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4651E0A" w14:textId="0CE2C7B4" w:rsidR="00EB32DE" w:rsidRDefault="00EB32DE" w:rsidP="00EB32DE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Topic 2</w:t>
            </w:r>
          </w:p>
        </w:tc>
        <w:tc>
          <w:tcPr>
            <w:tcW w:w="241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63E1104" w14:textId="1B5776B6" w:rsidR="00EB32DE" w:rsidRDefault="00EB32DE" w:rsidP="00EB32D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LO2</w:t>
            </w:r>
          </w:p>
        </w:tc>
        <w:tc>
          <w:tcPr>
            <w:tcW w:w="3605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61FA6D1" w14:textId="77777777" w:rsidR="00EB32DE" w:rsidRDefault="00EB32DE" w:rsidP="00EB32D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74F43AC" w14:textId="77777777" w:rsidR="00EB32DE" w:rsidRPr="00EB32DE" w:rsidRDefault="00EB32DE" w:rsidP="00EB32DE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06E3C341" w14:textId="77777777" w:rsidR="00EB32DE" w:rsidRPr="00EB32DE" w:rsidRDefault="00EB32DE" w:rsidP="00EB32DE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677DCDCE" w14:textId="77777777" w:rsidR="00EB32DE" w:rsidRDefault="00EB32DE" w:rsidP="3FB15AFB">
      <w:pPr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</w:p>
    <w:p w14:paraId="33B00E65" w14:textId="617ACBBD" w:rsidR="221889DE" w:rsidRDefault="221889DE" w:rsidP="3FB15AFB">
      <w:pPr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  <w:r w:rsidRPr="00097DC2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en-US"/>
        </w:rPr>
        <w:t>Note: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  <w:t xml:space="preserve"> </w:t>
      </w:r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>If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you </w:t>
      </w:r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decide to deliver some content asynchronously thereby keeping the live class time for questions/case studies/activities etc., remember that 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passively watching </w:t>
      </w:r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>long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recording</w:t>
      </w:r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>s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is 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</w:rPr>
        <w:t>not</w:t>
      </w:r>
      <w:r w:rsidR="00F90E7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best way of </w:t>
      </w:r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for students 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</w:rPr>
        <w:t>to cover the necessary content</w:t>
      </w:r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>. Instead, consider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creat</w:t>
      </w:r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ing some 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</w:rPr>
        <w:t>short</w:t>
      </w:r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(chunked) interactive</w:t>
      </w:r>
      <w:r w:rsidRPr="3FB15AF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screencasts/videos or podcasts, or multimedia presentations, that cover that content in an interesting and engaging way and make those available to them instead. </w:t>
      </w:r>
      <w:hyperlink r:id="rId8" w:history="1">
        <w:r w:rsidR="00097DC2" w:rsidRPr="00F90E7C">
          <w:rPr>
            <w:rStyle w:val="Hyperlink"/>
            <w:rFonts w:ascii="Calibri" w:eastAsia="Calibri" w:hAnsi="Calibri" w:cs="Calibri"/>
            <w:sz w:val="22"/>
            <w:szCs w:val="22"/>
          </w:rPr>
          <w:t>Talk to any member of the Digital Education Team</w:t>
        </w:r>
      </w:hyperlink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 explore what’s possible</w:t>
      </w:r>
      <w:r w:rsidR="00F90E7C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097DC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and </w:t>
      </w:r>
      <w:r w:rsidR="00F90E7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undertake some </w:t>
      </w:r>
      <w:hyperlink r:id="rId9" w:history="1">
        <w:r w:rsidR="00F90E7C" w:rsidRPr="00F90E7C">
          <w:rPr>
            <w:rStyle w:val="Hyperlink"/>
            <w:rFonts w:ascii="Calibri" w:eastAsia="Calibri" w:hAnsi="Calibri" w:cs="Calibri"/>
            <w:sz w:val="22"/>
            <w:szCs w:val="22"/>
          </w:rPr>
          <w:t>training</w:t>
        </w:r>
      </w:hyperlink>
      <w:r w:rsidR="00F90E7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in the appropriate </w:t>
      </w:r>
      <w:hyperlink r:id="rId10" w:history="1">
        <w:r w:rsidR="00F90E7C" w:rsidRPr="00F90E7C">
          <w:rPr>
            <w:rStyle w:val="Hyperlink"/>
            <w:rFonts w:ascii="Calibri" w:eastAsia="Calibri" w:hAnsi="Calibri" w:cs="Calibri"/>
            <w:sz w:val="22"/>
            <w:szCs w:val="22"/>
          </w:rPr>
          <w:t>learning technologies</w:t>
        </w:r>
      </w:hyperlink>
      <w:r w:rsidR="00F90E7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</w:p>
    <w:p w14:paraId="520A18EF" w14:textId="604D42E8" w:rsidR="005B3C6F" w:rsidRDefault="005B3C6F" w:rsidP="3FB15AFB">
      <w:pPr>
        <w:rPr>
          <w:rFonts w:ascii="Calibri" w:eastAsia="Calibri" w:hAnsi="Calibri" w:cs="Calibri"/>
          <w:color w:val="000000" w:themeColor="text1"/>
          <w:sz w:val="22"/>
          <w:szCs w:val="22"/>
          <w:lang w:val="en-US"/>
        </w:rPr>
      </w:pPr>
    </w:p>
    <w:sectPr w:rsidR="005B3C6F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C51BF"/>
    <w:multiLevelType w:val="hybridMultilevel"/>
    <w:tmpl w:val="4BAA4042"/>
    <w:lvl w:ilvl="0" w:tplc="8294C8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A976C1A6">
      <w:start w:val="1"/>
      <w:numFmt w:val="lowerLetter"/>
      <w:lvlText w:val="%2."/>
      <w:lvlJc w:val="left"/>
      <w:pPr>
        <w:ind w:left="1440" w:hanging="360"/>
      </w:pPr>
    </w:lvl>
    <w:lvl w:ilvl="2" w:tplc="7AF2174C">
      <w:start w:val="1"/>
      <w:numFmt w:val="lowerRoman"/>
      <w:lvlText w:val="%3."/>
      <w:lvlJc w:val="right"/>
      <w:pPr>
        <w:ind w:left="2160" w:hanging="180"/>
      </w:pPr>
    </w:lvl>
    <w:lvl w:ilvl="3" w:tplc="FCC806BC">
      <w:start w:val="1"/>
      <w:numFmt w:val="decimal"/>
      <w:lvlText w:val="%4."/>
      <w:lvlJc w:val="left"/>
      <w:pPr>
        <w:ind w:left="2880" w:hanging="360"/>
      </w:pPr>
    </w:lvl>
    <w:lvl w:ilvl="4" w:tplc="CFBA8C7E">
      <w:start w:val="1"/>
      <w:numFmt w:val="lowerLetter"/>
      <w:lvlText w:val="%5."/>
      <w:lvlJc w:val="left"/>
      <w:pPr>
        <w:ind w:left="3600" w:hanging="360"/>
      </w:pPr>
    </w:lvl>
    <w:lvl w:ilvl="5" w:tplc="2736896A">
      <w:start w:val="1"/>
      <w:numFmt w:val="lowerRoman"/>
      <w:lvlText w:val="%6."/>
      <w:lvlJc w:val="right"/>
      <w:pPr>
        <w:ind w:left="4320" w:hanging="180"/>
      </w:pPr>
    </w:lvl>
    <w:lvl w:ilvl="6" w:tplc="282EBE4C">
      <w:start w:val="1"/>
      <w:numFmt w:val="decimal"/>
      <w:lvlText w:val="%7."/>
      <w:lvlJc w:val="left"/>
      <w:pPr>
        <w:ind w:left="5040" w:hanging="360"/>
      </w:pPr>
    </w:lvl>
    <w:lvl w:ilvl="7" w:tplc="08C02304">
      <w:start w:val="1"/>
      <w:numFmt w:val="lowerLetter"/>
      <w:lvlText w:val="%8."/>
      <w:lvlJc w:val="left"/>
      <w:pPr>
        <w:ind w:left="5760" w:hanging="360"/>
      </w:pPr>
    </w:lvl>
    <w:lvl w:ilvl="8" w:tplc="CE44BF68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6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166062"/>
    <w:rsid w:val="00097DC2"/>
    <w:rsid w:val="000E079C"/>
    <w:rsid w:val="000E19E3"/>
    <w:rsid w:val="00235F40"/>
    <w:rsid w:val="002508AF"/>
    <w:rsid w:val="004C70C6"/>
    <w:rsid w:val="005070FC"/>
    <w:rsid w:val="005B3C6F"/>
    <w:rsid w:val="008C55DD"/>
    <w:rsid w:val="008F58C8"/>
    <w:rsid w:val="00A0277A"/>
    <w:rsid w:val="00A64116"/>
    <w:rsid w:val="00AE47BB"/>
    <w:rsid w:val="00C01A74"/>
    <w:rsid w:val="00E36A2D"/>
    <w:rsid w:val="00EB32DE"/>
    <w:rsid w:val="00F90E7C"/>
    <w:rsid w:val="0314FC0A"/>
    <w:rsid w:val="05BC2E78"/>
    <w:rsid w:val="072C184B"/>
    <w:rsid w:val="07B3BEAE"/>
    <w:rsid w:val="07BB7010"/>
    <w:rsid w:val="08EECEED"/>
    <w:rsid w:val="0B18E654"/>
    <w:rsid w:val="0CF32096"/>
    <w:rsid w:val="0E086B5E"/>
    <w:rsid w:val="125B6C7F"/>
    <w:rsid w:val="14E41048"/>
    <w:rsid w:val="15166062"/>
    <w:rsid w:val="1710202A"/>
    <w:rsid w:val="1763908B"/>
    <w:rsid w:val="179F16A9"/>
    <w:rsid w:val="1A083A96"/>
    <w:rsid w:val="1BF816BA"/>
    <w:rsid w:val="1E2B54AC"/>
    <w:rsid w:val="1F037BE0"/>
    <w:rsid w:val="2015F190"/>
    <w:rsid w:val="20BB177B"/>
    <w:rsid w:val="221889DE"/>
    <w:rsid w:val="22307EE1"/>
    <w:rsid w:val="2251911A"/>
    <w:rsid w:val="22B340EB"/>
    <w:rsid w:val="2435FF07"/>
    <w:rsid w:val="2600040E"/>
    <w:rsid w:val="26318788"/>
    <w:rsid w:val="266B7BFB"/>
    <w:rsid w:val="27A299F9"/>
    <w:rsid w:val="2B3A8A81"/>
    <w:rsid w:val="2C1C1B1C"/>
    <w:rsid w:val="2C7CDB51"/>
    <w:rsid w:val="2D397BE8"/>
    <w:rsid w:val="2DCF080C"/>
    <w:rsid w:val="2F6D1483"/>
    <w:rsid w:val="2F7732F4"/>
    <w:rsid w:val="3075D562"/>
    <w:rsid w:val="32179E23"/>
    <w:rsid w:val="3493C482"/>
    <w:rsid w:val="37CB1F83"/>
    <w:rsid w:val="3ACC1284"/>
    <w:rsid w:val="3B1F8299"/>
    <w:rsid w:val="3E83C7E3"/>
    <w:rsid w:val="3FB15AFB"/>
    <w:rsid w:val="3FB1D5DE"/>
    <w:rsid w:val="3FC1B534"/>
    <w:rsid w:val="409FD14C"/>
    <w:rsid w:val="40E2E0BA"/>
    <w:rsid w:val="4233E80F"/>
    <w:rsid w:val="42C087D1"/>
    <w:rsid w:val="436C1A24"/>
    <w:rsid w:val="44D03937"/>
    <w:rsid w:val="45E87579"/>
    <w:rsid w:val="48EB3396"/>
    <w:rsid w:val="4A7B7689"/>
    <w:rsid w:val="4C7BB79B"/>
    <w:rsid w:val="4CAD3C58"/>
    <w:rsid w:val="507483CE"/>
    <w:rsid w:val="53785ECC"/>
    <w:rsid w:val="55E9AF64"/>
    <w:rsid w:val="5A437D66"/>
    <w:rsid w:val="5AC48B7C"/>
    <w:rsid w:val="5B903297"/>
    <w:rsid w:val="5BD0CBCB"/>
    <w:rsid w:val="6095C807"/>
    <w:rsid w:val="6097BDD9"/>
    <w:rsid w:val="60AED4C8"/>
    <w:rsid w:val="630B834A"/>
    <w:rsid w:val="63385DB3"/>
    <w:rsid w:val="65FFB3D0"/>
    <w:rsid w:val="661C779E"/>
    <w:rsid w:val="67F223E5"/>
    <w:rsid w:val="69D02A4D"/>
    <w:rsid w:val="6B4E82E3"/>
    <w:rsid w:val="6D295B0A"/>
    <w:rsid w:val="722073C1"/>
    <w:rsid w:val="74E7A3FA"/>
    <w:rsid w:val="75BEB36F"/>
    <w:rsid w:val="75E06A59"/>
    <w:rsid w:val="7643997B"/>
    <w:rsid w:val="77AF7FAD"/>
    <w:rsid w:val="77D71E0C"/>
    <w:rsid w:val="79B51F89"/>
    <w:rsid w:val="7D50D6D1"/>
    <w:rsid w:val="7E64B60A"/>
    <w:rsid w:val="7F4C8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3B31A"/>
  <w15:chartTrackingRefBased/>
  <w15:docId w15:val="{54A83869-AD9B-4606-A64B-311A3750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0E2E0BA"/>
    <w:rPr>
      <w:color w:val="467886"/>
      <w:u w:val="single"/>
    </w:rPr>
  </w:style>
  <w:style w:type="paragraph" w:styleId="NoSpacing">
    <w:name w:val="No Spacing"/>
    <w:uiPriority w:val="1"/>
    <w:qFormat/>
    <w:rsid w:val="40E2E0BA"/>
    <w:pPr>
      <w:spacing w:after="0"/>
    </w:pPr>
  </w:style>
  <w:style w:type="paragraph" w:styleId="ListParagraph">
    <w:name w:val="List Paragraph"/>
    <w:basedOn w:val="Normal"/>
    <w:uiPriority w:val="34"/>
    <w:qFormat/>
    <w:rsid w:val="40E2E0B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0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dublin.ie/explore/about-the-university/digital-education/contact-u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udublin.ie/explore/about-the-university/digital-education/digital-teaching-learning--assessment-tool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udublin.sharepoint.com/sites/AcademicAffairsCalendarofEvents/SitePages/Upcoming-Training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a15012d-c578-4421-8543-8baa4f7a17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EF4FB18E386E41ABE8D01595554114" ma:contentTypeVersion="8" ma:contentTypeDescription="Create a new document." ma:contentTypeScope="" ma:versionID="c1bcf4bf14bce47591c74c811105b736">
  <xsd:schema xmlns:xsd="http://www.w3.org/2001/XMLSchema" xmlns:xs="http://www.w3.org/2001/XMLSchema" xmlns:p="http://schemas.microsoft.com/office/2006/metadata/properties" xmlns:ns2="9a15012d-c578-4421-8543-8baa4f7a1718" targetNamespace="http://schemas.microsoft.com/office/2006/metadata/properties" ma:root="true" ma:fieldsID="bdc5e65ddc1853de304875f5701cd52a" ns2:_="">
    <xsd:import namespace="9a15012d-c578-4421-8543-8baa4f7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5012d-c578-4421-8543-8baa4f7a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" ma:index="15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66BBD-9147-46DF-805C-BAA39688BC8D}">
  <ds:schemaRefs>
    <ds:schemaRef ds:uri="http://schemas.microsoft.com/office/2006/metadata/properties"/>
    <ds:schemaRef ds:uri="http://schemas.microsoft.com/office/infopath/2007/PartnerControls"/>
    <ds:schemaRef ds:uri="9a15012d-c578-4421-8543-8baa4f7a1718"/>
  </ds:schemaRefs>
</ds:datastoreItem>
</file>

<file path=customXml/itemProps2.xml><?xml version="1.0" encoding="utf-8"?>
<ds:datastoreItem xmlns:ds="http://schemas.openxmlformats.org/officeDocument/2006/customXml" ds:itemID="{D800B5DD-0019-4101-B0A4-FACC6051A3FB}"/>
</file>

<file path=customXml/itemProps3.xml><?xml version="1.0" encoding="utf-8"?>
<ds:datastoreItem xmlns:ds="http://schemas.openxmlformats.org/officeDocument/2006/customXml" ds:itemID="{2A934DBC-71A6-48E5-974A-301D674F4D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Boylan</dc:creator>
  <cp:keywords/>
  <dc:description/>
  <cp:lastModifiedBy>Frances Boylan</cp:lastModifiedBy>
  <cp:revision>12</cp:revision>
  <dcterms:created xsi:type="dcterms:W3CDTF">2025-11-18T10:06:00Z</dcterms:created>
  <dcterms:modified xsi:type="dcterms:W3CDTF">2025-11-18T13:26:00Z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0x01010037EF4FB18E386E41ABE8D01595554114</vt:lpwstr>
  </property>
</Properties>
</file>