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D375" w14:textId="7A3788CE" w:rsidR="008B1CE9" w:rsidRDefault="007D2256" w:rsidP="007D2256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bookmarkStart w:id="0" w:name="_Hlk214799700"/>
      <w:bookmarkEnd w:id="0"/>
      <w:r>
        <w:rPr>
          <w:noProof/>
          <w:lang w:val="en-US"/>
        </w:rPr>
        <w:drawing>
          <wp:inline distT="0" distB="0" distL="0" distR="0" wp14:anchorId="55F62DB2" wp14:editId="6043DC6E">
            <wp:extent cx="1753235" cy="996950"/>
            <wp:effectExtent l="0" t="0" r="0" b="0"/>
            <wp:docPr id="8" name="Picture 0" descr="TU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D_RG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8236" cy="99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50B89" w14:textId="0A224954" w:rsidR="00DC29AC" w:rsidRPr="007D2256" w:rsidRDefault="00DC29AC" w:rsidP="007D2256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sz w:val="28"/>
          <w:szCs w:val="28"/>
          <w:lang w:eastAsia="en-GB"/>
        </w:rPr>
      </w:pPr>
      <w:r w:rsidRPr="008B5345">
        <w:rPr>
          <w:rFonts w:eastAsia="Times New Roman" w:cstheme="minorHAnsi"/>
          <w:b/>
          <w:sz w:val="28"/>
          <w:szCs w:val="28"/>
          <w:lang w:eastAsia="en-GB"/>
        </w:rPr>
        <w:t>Auto Enrolment / My Future Fund</w:t>
      </w:r>
    </w:p>
    <w:p w14:paraId="66A1E46A" w14:textId="77777777" w:rsidR="007D2256" w:rsidRDefault="007D2256" w:rsidP="00F66358">
      <w:pPr>
        <w:shd w:val="clear" w:color="auto" w:fill="FFFFFF"/>
        <w:spacing w:after="15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1B92402E" w14:textId="3F882FE3" w:rsidR="00F66358" w:rsidRPr="006D7D3E" w:rsidRDefault="00F66358" w:rsidP="00F66358">
      <w:pPr>
        <w:shd w:val="clear" w:color="auto" w:fill="FFFFFF"/>
        <w:spacing w:after="15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6D7D3E">
        <w:rPr>
          <w:rFonts w:eastAsia="Times New Roman" w:cstheme="minorHAnsi"/>
          <w:b/>
          <w:color w:val="000000"/>
          <w:sz w:val="24"/>
          <w:szCs w:val="24"/>
          <w:lang w:eastAsia="en-GB"/>
        </w:rPr>
        <w:t>What is Auto Enrolment</w:t>
      </w:r>
      <w:r w:rsidR="00DC29AC">
        <w:rPr>
          <w:rFonts w:eastAsia="Times New Roman" w:cstheme="minorHAnsi"/>
          <w:b/>
          <w:color w:val="000000"/>
          <w:sz w:val="24"/>
          <w:szCs w:val="24"/>
          <w:lang w:eastAsia="en-GB"/>
        </w:rPr>
        <w:t>?</w:t>
      </w:r>
    </w:p>
    <w:p w14:paraId="54B4E167" w14:textId="788A7415" w:rsidR="00FC09D7" w:rsidRPr="006D7D3E" w:rsidRDefault="00F66358" w:rsidP="00FC09D7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>Auto-enrolment is a new retirement savings scheme for employees who do not already have a workplace pension scheme or an additional pension arrangeme</w:t>
      </w:r>
      <w:r w:rsidR="00FC09D7" w:rsidRPr="006D7D3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nt. </w:t>
      </w:r>
      <w:r w:rsidR="00FC1709" w:rsidRPr="006D7D3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It will be known as </w:t>
      </w:r>
      <w:r w:rsidR="00DC29AC">
        <w:rPr>
          <w:rFonts w:eastAsia="Times New Roman" w:cstheme="minorHAnsi"/>
          <w:color w:val="000000"/>
          <w:sz w:val="24"/>
          <w:szCs w:val="24"/>
          <w:lang w:eastAsia="en-GB"/>
        </w:rPr>
        <w:t>‘</w:t>
      </w:r>
      <w:r w:rsidR="00FC1709" w:rsidRPr="006D7D3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My Future </w:t>
      </w:r>
      <w:r w:rsidR="00FC1709" w:rsidRPr="008B5345">
        <w:rPr>
          <w:rFonts w:eastAsia="Times New Roman" w:cstheme="minorHAnsi"/>
          <w:sz w:val="24"/>
          <w:szCs w:val="24"/>
          <w:lang w:eastAsia="en-GB"/>
        </w:rPr>
        <w:t>Fund</w:t>
      </w:r>
      <w:r w:rsidR="00DC29AC" w:rsidRPr="008B5345">
        <w:rPr>
          <w:rFonts w:eastAsia="Times New Roman" w:cstheme="minorHAnsi"/>
          <w:sz w:val="24"/>
          <w:szCs w:val="24"/>
          <w:lang w:eastAsia="en-GB"/>
        </w:rPr>
        <w:t>’</w:t>
      </w:r>
      <w:r w:rsidR="00201AAF" w:rsidRPr="008B5345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C29AC" w:rsidRPr="008B5345">
        <w:rPr>
          <w:rFonts w:eastAsia="Times New Roman" w:cstheme="minorHAnsi"/>
          <w:sz w:val="24"/>
          <w:szCs w:val="24"/>
          <w:lang w:eastAsia="en-GB"/>
        </w:rPr>
        <w:t xml:space="preserve">and is </w:t>
      </w:r>
      <w:r w:rsidR="00201AAF">
        <w:rPr>
          <w:rFonts w:eastAsia="Times New Roman" w:cstheme="minorHAnsi"/>
          <w:color w:val="000000"/>
          <w:sz w:val="24"/>
          <w:szCs w:val="24"/>
          <w:lang w:eastAsia="en-GB"/>
        </w:rPr>
        <w:t>due to commence on 1</w:t>
      </w:r>
      <w:r w:rsidR="00201AAF" w:rsidRPr="00201AAF">
        <w:rPr>
          <w:rFonts w:eastAsia="Times New Roman" w:cstheme="minorHAnsi"/>
          <w:color w:val="000000"/>
          <w:sz w:val="24"/>
          <w:szCs w:val="24"/>
          <w:vertAlign w:val="superscript"/>
          <w:lang w:eastAsia="en-GB"/>
        </w:rPr>
        <w:t>st</w:t>
      </w:r>
      <w:r w:rsidR="00201AA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January </w:t>
      </w:r>
      <w:r w:rsidR="003C036F">
        <w:rPr>
          <w:rFonts w:eastAsia="Times New Roman" w:cstheme="minorHAnsi"/>
          <w:color w:val="000000"/>
          <w:sz w:val="24"/>
          <w:szCs w:val="24"/>
          <w:lang w:eastAsia="en-GB"/>
        </w:rPr>
        <w:t>2026</w:t>
      </w:r>
      <w:r w:rsidR="00DC29AC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3A380B34" w14:textId="0C5DBA7D" w:rsidR="00FC09D7" w:rsidRPr="006D7D3E" w:rsidRDefault="00FC09D7" w:rsidP="00FC09D7">
      <w:pPr>
        <w:shd w:val="clear" w:color="auto" w:fill="FFFFFF"/>
        <w:spacing w:after="15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6D7D3E">
        <w:rPr>
          <w:rFonts w:eastAsia="Times New Roman" w:cstheme="minorHAnsi"/>
          <w:b/>
          <w:color w:val="000000"/>
          <w:sz w:val="24"/>
          <w:szCs w:val="24"/>
          <w:lang w:eastAsia="en-GB"/>
        </w:rPr>
        <w:t>Who will run the auto-enrolment retirement savings system</w:t>
      </w:r>
      <w:r w:rsidR="00DC29AC">
        <w:rPr>
          <w:rFonts w:eastAsia="Times New Roman" w:cstheme="minorHAnsi"/>
          <w:b/>
          <w:color w:val="000000"/>
          <w:sz w:val="24"/>
          <w:szCs w:val="24"/>
          <w:lang w:eastAsia="en-GB"/>
        </w:rPr>
        <w:t>?</w:t>
      </w:r>
    </w:p>
    <w:p w14:paraId="13129B1E" w14:textId="107079AC" w:rsidR="00A60BDF" w:rsidRPr="006D7D3E" w:rsidRDefault="00D775A2" w:rsidP="00F66358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</w:t>
      </w:r>
      <w:r w:rsidR="00FC09D7" w:rsidRPr="006D7D3E">
        <w:rPr>
          <w:rFonts w:eastAsia="Times New Roman" w:cstheme="minorHAnsi"/>
          <w:color w:val="000000"/>
          <w:sz w:val="24"/>
          <w:szCs w:val="24"/>
          <w:lang w:eastAsia="en-GB"/>
        </w:rPr>
        <w:t>National Automatic Enrolment Retirement Savings Authority (NAERSA)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will run the scheme.  They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en-GB"/>
        </w:rPr>
        <w:t>will:-</w:t>
      </w:r>
      <w:proofErr w:type="gramEnd"/>
    </w:p>
    <w:p w14:paraId="4BD57D7A" w14:textId="3D367B25" w:rsidR="00FC09D7" w:rsidRPr="008B5345" w:rsidRDefault="00D775A2" w:rsidP="007E088C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C29AC">
        <w:rPr>
          <w:rFonts w:eastAsia="Times New Roman" w:cstheme="minorHAnsi"/>
          <w:color w:val="000000"/>
          <w:sz w:val="24"/>
          <w:szCs w:val="24"/>
          <w:lang w:eastAsia="en-GB"/>
        </w:rPr>
        <w:t>D</w:t>
      </w:r>
      <w:r w:rsidR="00F66358" w:rsidRPr="00DC29A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etermine </w:t>
      </w:r>
      <w:r w:rsidR="00FC09D7" w:rsidRPr="00DC29AC">
        <w:rPr>
          <w:rFonts w:eastAsia="Times New Roman" w:cstheme="minorHAnsi"/>
          <w:color w:val="000000"/>
          <w:sz w:val="24"/>
          <w:szCs w:val="24"/>
          <w:lang w:eastAsia="en-GB"/>
        </w:rPr>
        <w:t>who is</w:t>
      </w:r>
      <w:r w:rsidR="00F66358" w:rsidRPr="00DC29A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eligible for auto-enrolment using</w:t>
      </w:r>
      <w:r w:rsidR="00FC09D7" w:rsidRPr="00DC29A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Revenue payroll</w:t>
      </w:r>
      <w:r w:rsidR="00F66358" w:rsidRPr="00DC29A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data, </w:t>
      </w:r>
      <w:r w:rsidR="00DC29AC" w:rsidRPr="008B5345">
        <w:rPr>
          <w:rFonts w:eastAsia="Times New Roman" w:cstheme="minorHAnsi"/>
          <w:sz w:val="24"/>
          <w:szCs w:val="24"/>
          <w:lang w:eastAsia="en-GB"/>
        </w:rPr>
        <w:t>over a lookback period of up to 13 weeks</w:t>
      </w:r>
    </w:p>
    <w:p w14:paraId="583B9845" w14:textId="7AE54076" w:rsidR="00FC09D7" w:rsidRPr="00D775A2" w:rsidRDefault="00D775A2" w:rsidP="00D775A2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775A2">
        <w:rPr>
          <w:rFonts w:eastAsia="Times New Roman" w:cstheme="minorHAnsi"/>
          <w:color w:val="000000"/>
          <w:sz w:val="24"/>
          <w:szCs w:val="24"/>
          <w:lang w:eastAsia="en-GB"/>
        </w:rPr>
        <w:t>C</w:t>
      </w:r>
      <w:r w:rsidR="00F66358" w:rsidRPr="00D775A2">
        <w:rPr>
          <w:rFonts w:eastAsia="Times New Roman" w:cstheme="minorHAnsi"/>
          <w:color w:val="000000"/>
          <w:sz w:val="24"/>
          <w:szCs w:val="24"/>
          <w:lang w:eastAsia="en-GB"/>
        </w:rPr>
        <w:t>ollect all employee, employer and State contributions, and invest the money</w:t>
      </w:r>
    </w:p>
    <w:p w14:paraId="1DAFF8D8" w14:textId="17F1C41F" w:rsidR="00D775A2" w:rsidRPr="00D775A2" w:rsidRDefault="00D775A2" w:rsidP="00D775A2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775A2">
        <w:rPr>
          <w:rFonts w:eastAsia="Times New Roman" w:cstheme="minorHAnsi"/>
          <w:color w:val="000000"/>
          <w:sz w:val="24"/>
          <w:szCs w:val="24"/>
          <w:lang w:eastAsia="en-GB"/>
        </w:rPr>
        <w:t>Operate the online portals for employees and employers</w:t>
      </w:r>
    </w:p>
    <w:p w14:paraId="084D5CEB" w14:textId="175550A9" w:rsidR="00D775A2" w:rsidRPr="00D775A2" w:rsidRDefault="00D775A2" w:rsidP="00D775A2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775A2">
        <w:rPr>
          <w:rFonts w:eastAsia="Times New Roman" w:cstheme="minorHAnsi"/>
          <w:color w:val="000000"/>
          <w:sz w:val="24"/>
          <w:szCs w:val="24"/>
          <w:lang w:eastAsia="en-GB"/>
        </w:rPr>
        <w:t>Facilitate one pot following member through their working life</w:t>
      </w:r>
    </w:p>
    <w:p w14:paraId="1BA3528A" w14:textId="44074FD3" w:rsidR="00D775A2" w:rsidRPr="00D775A2" w:rsidRDefault="00D775A2" w:rsidP="00D775A2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775A2">
        <w:rPr>
          <w:rFonts w:eastAsia="Times New Roman" w:cstheme="minorHAnsi"/>
          <w:color w:val="000000"/>
          <w:sz w:val="24"/>
          <w:szCs w:val="24"/>
          <w:lang w:eastAsia="en-GB"/>
        </w:rPr>
        <w:t>Monitor compliance</w:t>
      </w:r>
    </w:p>
    <w:p w14:paraId="53E5356B" w14:textId="0A5FC284" w:rsidR="00D775A2" w:rsidRPr="00D775A2" w:rsidRDefault="00D775A2" w:rsidP="00D775A2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775A2">
        <w:rPr>
          <w:rFonts w:eastAsia="Times New Roman" w:cstheme="minorHAnsi"/>
          <w:color w:val="000000"/>
          <w:sz w:val="24"/>
          <w:szCs w:val="24"/>
          <w:lang w:eastAsia="en-GB"/>
        </w:rPr>
        <w:t>Communicate and provide information</w:t>
      </w:r>
    </w:p>
    <w:p w14:paraId="014D7EF0" w14:textId="5EFC8174" w:rsidR="00F66358" w:rsidRPr="00087724" w:rsidRDefault="00F66358" w:rsidP="00F66358">
      <w:pPr>
        <w:shd w:val="clear" w:color="auto" w:fill="FFFFFF"/>
        <w:spacing w:after="150" w:line="240" w:lineRule="auto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087724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Who </w:t>
      </w:r>
      <w:r w:rsidR="00DB7F4F" w:rsidRPr="00DB7F4F">
        <w:rPr>
          <w:rFonts w:eastAsia="Times New Roman" w:cstheme="minorHAnsi"/>
          <w:b/>
          <w:color w:val="000000"/>
          <w:sz w:val="24"/>
          <w:szCs w:val="24"/>
          <w:lang w:eastAsia="en-GB"/>
        </w:rPr>
        <w:t>WILL BE</w:t>
      </w:r>
      <w:r w:rsidRPr="00087724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r w:rsidR="00DC29AC" w:rsidRPr="00087724">
        <w:rPr>
          <w:rFonts w:eastAsia="Times New Roman" w:cstheme="minorHAnsi"/>
          <w:bCs/>
          <w:sz w:val="24"/>
          <w:szCs w:val="24"/>
          <w:lang w:eastAsia="en-GB"/>
        </w:rPr>
        <w:t xml:space="preserve">automatically </w:t>
      </w:r>
      <w:r w:rsidRPr="00087724">
        <w:rPr>
          <w:rFonts w:eastAsia="Times New Roman" w:cstheme="minorHAnsi"/>
          <w:bCs/>
          <w:color w:val="000000"/>
          <w:sz w:val="24"/>
          <w:szCs w:val="24"/>
          <w:lang w:eastAsia="en-GB"/>
        </w:rPr>
        <w:t>enrolled</w:t>
      </w:r>
      <w:r w:rsidR="00DC29AC" w:rsidRPr="00087724">
        <w:rPr>
          <w:rFonts w:eastAsia="Times New Roman" w:cstheme="minorHAnsi"/>
          <w:bCs/>
          <w:color w:val="000000"/>
          <w:sz w:val="24"/>
          <w:szCs w:val="24"/>
          <w:lang w:eastAsia="en-GB"/>
        </w:rPr>
        <w:t>?</w:t>
      </w:r>
    </w:p>
    <w:p w14:paraId="150B77EF" w14:textId="7836E7C2" w:rsidR="00FC09D7" w:rsidRPr="006D7D3E" w:rsidRDefault="00A60BDF" w:rsidP="00FC09D7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>Employees</w:t>
      </w:r>
      <w:r w:rsidR="00FC09D7" w:rsidRPr="006D7D3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age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>d</w:t>
      </w:r>
      <w:r w:rsidR="00FC09D7" w:rsidRPr="006D7D3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between 23 and 60, earning €20,000 or more </w:t>
      </w:r>
      <w:r w:rsidR="00DC29AC" w:rsidRPr="008C7CA9">
        <w:rPr>
          <w:sz w:val="24"/>
          <w:szCs w:val="24"/>
          <w:lang w:val="en-IE" w:eastAsia="en-GB"/>
        </w:rPr>
        <w:t xml:space="preserve">from a single employer and/or from combined multiple </w:t>
      </w:r>
      <w:r w:rsidR="005507C8" w:rsidRPr="008C7CA9">
        <w:rPr>
          <w:sz w:val="24"/>
          <w:szCs w:val="24"/>
          <w:lang w:val="en-IE" w:eastAsia="en-GB"/>
        </w:rPr>
        <w:t>employers and</w:t>
      </w:r>
      <w:r w:rsidR="00FC09D7" w:rsidRPr="008C7CA9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C29AC" w:rsidRPr="008C7CA9">
        <w:rPr>
          <w:rFonts w:eastAsia="Times New Roman" w:cstheme="minorHAnsi"/>
          <w:sz w:val="24"/>
          <w:szCs w:val="24"/>
          <w:lang w:eastAsia="en-GB"/>
        </w:rPr>
        <w:t xml:space="preserve">who </w:t>
      </w:r>
      <w:r w:rsidR="00FC09D7" w:rsidRPr="008C7CA9">
        <w:rPr>
          <w:rFonts w:eastAsia="Times New Roman" w:cstheme="minorHAnsi"/>
          <w:sz w:val="24"/>
          <w:szCs w:val="24"/>
          <w:lang w:eastAsia="en-GB"/>
        </w:rPr>
        <w:t xml:space="preserve">do not have an existing pension </w:t>
      </w:r>
      <w:r w:rsidR="00FC09D7" w:rsidRPr="006D7D3E">
        <w:rPr>
          <w:rFonts w:eastAsia="Times New Roman" w:cstheme="minorHAnsi"/>
          <w:color w:val="000000"/>
          <w:sz w:val="24"/>
          <w:szCs w:val="24"/>
          <w:lang w:eastAsia="en-GB"/>
        </w:rPr>
        <w:t>scheme.</w:t>
      </w:r>
      <w:r w:rsidR="00DC29A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7404CEE2" w14:textId="6E7C3574" w:rsidR="00A60BDF" w:rsidRPr="00DB7F4F" w:rsidRDefault="00A60BDF" w:rsidP="00F66358">
      <w:pPr>
        <w:shd w:val="clear" w:color="auto" w:fill="FFFFFF"/>
        <w:spacing w:after="150" w:line="240" w:lineRule="auto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DB7F4F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Who </w:t>
      </w:r>
      <w:r w:rsidR="00DB7F4F" w:rsidRPr="00DB7F4F">
        <w:rPr>
          <w:rFonts w:eastAsia="Times New Roman" w:cstheme="minorHAnsi"/>
          <w:b/>
          <w:color w:val="000000"/>
          <w:sz w:val="24"/>
          <w:szCs w:val="24"/>
          <w:lang w:eastAsia="en-GB"/>
        </w:rPr>
        <w:t>WILL NOT</w:t>
      </w:r>
      <w:r w:rsidRPr="00DB7F4F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be enrolled</w:t>
      </w:r>
      <w:r w:rsidR="00A0074F" w:rsidRPr="00DB7F4F">
        <w:rPr>
          <w:rFonts w:eastAsia="Times New Roman" w:cstheme="minorHAnsi"/>
          <w:bCs/>
          <w:color w:val="000000"/>
          <w:sz w:val="24"/>
          <w:szCs w:val="24"/>
          <w:lang w:eastAsia="en-GB"/>
        </w:rPr>
        <w:t>?</w:t>
      </w:r>
    </w:p>
    <w:p w14:paraId="7781AF3E" w14:textId="2EB18467" w:rsidR="00F66358" w:rsidRDefault="00A60BDF" w:rsidP="00F66358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bookmarkStart w:id="1" w:name="_Hlk189160221"/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>Employees</w:t>
      </w:r>
      <w:r w:rsidR="00FC09D7" w:rsidRPr="006D7D3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who are </w:t>
      </w:r>
      <w:bookmarkEnd w:id="1"/>
      <w:r w:rsidR="006C092C">
        <w:rPr>
          <w:rFonts w:eastAsia="Times New Roman" w:cstheme="minorHAnsi"/>
          <w:color w:val="000000"/>
          <w:sz w:val="24"/>
          <w:szCs w:val="24"/>
          <w:lang w:eastAsia="en-GB"/>
        </w:rPr>
        <w:t>members</w:t>
      </w:r>
      <w:r w:rsidR="00F66358" w:rsidRPr="006D7D3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of an </w:t>
      </w:r>
      <w:r w:rsidR="00FC09D7" w:rsidRPr="006D7D3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occupational pension scheme or have a </w:t>
      </w:r>
      <w:r w:rsidR="00DC29AC">
        <w:rPr>
          <w:rFonts w:eastAsia="Times New Roman" w:cstheme="minorHAnsi"/>
          <w:color w:val="000000"/>
          <w:sz w:val="24"/>
          <w:szCs w:val="24"/>
          <w:lang w:eastAsia="en-GB"/>
        </w:rPr>
        <w:t>Personal Retirement Savings Account (</w:t>
      </w:r>
      <w:r w:rsidR="00FC09D7" w:rsidRPr="006D7D3E">
        <w:rPr>
          <w:rFonts w:eastAsia="Times New Roman" w:cstheme="minorHAnsi"/>
          <w:color w:val="000000"/>
          <w:sz w:val="24"/>
          <w:szCs w:val="24"/>
          <w:lang w:eastAsia="en-GB"/>
        </w:rPr>
        <w:t>PRSA</w:t>
      </w:r>
      <w:r w:rsidR="00DC29A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) </w:t>
      </w:r>
      <w:r w:rsidR="00FC09D7" w:rsidRPr="006D7D3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and this is recorded in </w:t>
      </w:r>
      <w:r w:rsidR="00DC29AC">
        <w:rPr>
          <w:rFonts w:eastAsia="Times New Roman" w:cstheme="minorHAnsi"/>
          <w:color w:val="000000"/>
          <w:sz w:val="24"/>
          <w:szCs w:val="24"/>
          <w:lang w:eastAsia="en-GB"/>
        </w:rPr>
        <w:t>P</w:t>
      </w:r>
      <w:r w:rsidR="00FC09D7" w:rsidRPr="006D7D3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ayroll </w:t>
      </w:r>
      <w:r w:rsidR="00F66358" w:rsidRPr="006D7D3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will not be </w:t>
      </w:r>
      <w:proofErr w:type="gramStart"/>
      <w:r w:rsidR="00F66358" w:rsidRPr="006D7D3E">
        <w:rPr>
          <w:rFonts w:eastAsia="Times New Roman" w:cstheme="minorHAnsi"/>
          <w:color w:val="000000"/>
          <w:sz w:val="24"/>
          <w:szCs w:val="24"/>
          <w:lang w:eastAsia="en-GB"/>
        </w:rPr>
        <w:t>auto-enrolled</w:t>
      </w:r>
      <w:proofErr w:type="gramEnd"/>
      <w:r w:rsidR="00F66358" w:rsidRPr="006D7D3E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53902555" w14:textId="77777777" w:rsidR="00A0074F" w:rsidRPr="00A0074F" w:rsidRDefault="00A0074F" w:rsidP="00A0074F">
      <w:pPr>
        <w:shd w:val="clear" w:color="auto" w:fill="FFFFFF"/>
        <w:spacing w:after="120" w:line="240" w:lineRule="auto"/>
        <w:outlineLvl w:val="2"/>
        <w:rPr>
          <w:rFonts w:eastAsia="Times New Roman" w:cstheme="minorHAnsi"/>
          <w:b/>
          <w:bCs/>
          <w:spacing w:val="2"/>
          <w:sz w:val="24"/>
          <w:szCs w:val="24"/>
          <w:lang w:eastAsia="en-GB"/>
        </w:rPr>
      </w:pPr>
      <w:r w:rsidRPr="00A0074F">
        <w:rPr>
          <w:rFonts w:eastAsia="Times New Roman" w:cstheme="minorHAnsi"/>
          <w:b/>
          <w:bCs/>
          <w:spacing w:val="2"/>
          <w:sz w:val="24"/>
          <w:szCs w:val="24"/>
          <w:lang w:eastAsia="en-GB"/>
        </w:rPr>
        <w:t>Retirement Age</w:t>
      </w:r>
    </w:p>
    <w:p w14:paraId="65CDC621" w14:textId="39BD0F1E" w:rsidR="00A0074F" w:rsidRPr="00A0074F" w:rsidRDefault="00A0074F" w:rsidP="00A0074F">
      <w:pPr>
        <w:pStyle w:val="NoSpacing"/>
        <w:rPr>
          <w:sz w:val="24"/>
          <w:szCs w:val="24"/>
          <w:lang w:eastAsia="en-GB"/>
        </w:rPr>
      </w:pPr>
      <w:r w:rsidRPr="00A0074F">
        <w:rPr>
          <w:sz w:val="24"/>
          <w:szCs w:val="24"/>
          <w:lang w:eastAsia="en-GB"/>
        </w:rPr>
        <w:t xml:space="preserve">It is envisaged that </w:t>
      </w:r>
      <w:r w:rsidR="008C7CA9">
        <w:rPr>
          <w:sz w:val="24"/>
          <w:szCs w:val="24"/>
          <w:lang w:eastAsia="en-GB"/>
        </w:rPr>
        <w:t xml:space="preserve">the </w:t>
      </w:r>
      <w:r w:rsidRPr="00A0074F">
        <w:rPr>
          <w:sz w:val="24"/>
          <w:szCs w:val="24"/>
          <w:lang w:eastAsia="en-GB"/>
        </w:rPr>
        <w:t xml:space="preserve">retirement age for My Future Fund will be linked to the </w:t>
      </w:r>
      <w:r w:rsidR="00DB27D2">
        <w:rPr>
          <w:sz w:val="24"/>
          <w:szCs w:val="24"/>
          <w:lang w:eastAsia="en-GB"/>
        </w:rPr>
        <w:t>State pension retirement age of 66</w:t>
      </w:r>
      <w:r w:rsidR="003F56D3">
        <w:rPr>
          <w:sz w:val="24"/>
          <w:szCs w:val="24"/>
          <w:lang w:eastAsia="en-GB"/>
        </w:rPr>
        <w:t xml:space="preserve">, </w:t>
      </w:r>
      <w:r w:rsidRPr="00A0074F">
        <w:rPr>
          <w:sz w:val="24"/>
          <w:szCs w:val="24"/>
          <w:lang w:eastAsia="en-GB"/>
        </w:rPr>
        <w:t>with participants initially receiving a lump sum based on their contributions and the investment return on retirement. </w:t>
      </w:r>
    </w:p>
    <w:p w14:paraId="3EFD0DE6" w14:textId="77777777" w:rsidR="00A0074F" w:rsidRDefault="00A0074F" w:rsidP="00A0074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344E9403" w14:textId="2D916C86" w:rsidR="00D775A2" w:rsidRDefault="00D775A2" w:rsidP="00FC09D7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D775A2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Tax Treatment</w:t>
      </w:r>
    </w:p>
    <w:p w14:paraId="735DBB42" w14:textId="27E16A67" w:rsidR="00E20D83" w:rsidRPr="00E20D83" w:rsidRDefault="00E20D83" w:rsidP="00CF47A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20D83">
        <w:rPr>
          <w:rFonts w:eastAsia="Times New Roman" w:cstheme="minorHAnsi"/>
          <w:color w:val="000000"/>
          <w:sz w:val="24"/>
          <w:szCs w:val="24"/>
          <w:lang w:eastAsia="en-GB"/>
        </w:rPr>
        <w:t>The State top-up will be provided instead of tax relief on employee contributions.</w:t>
      </w:r>
    </w:p>
    <w:p w14:paraId="77D63BA1" w14:textId="5F9E4F22" w:rsidR="00E20D83" w:rsidRPr="00E20D83" w:rsidRDefault="00E20D83" w:rsidP="00CF47A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20D83">
        <w:rPr>
          <w:rFonts w:eastAsia="Times New Roman" w:cstheme="minorHAnsi"/>
          <w:color w:val="000000"/>
          <w:sz w:val="24"/>
          <w:szCs w:val="24"/>
          <w:lang w:eastAsia="en-GB"/>
        </w:rPr>
        <w:t>The State top-up contributions will not be subject to tax for the employee</w:t>
      </w:r>
    </w:p>
    <w:p w14:paraId="02B91139" w14:textId="08AEAB8C" w:rsidR="00E20D83" w:rsidRPr="00E20D83" w:rsidRDefault="00E20D83" w:rsidP="00CF47A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20D83">
        <w:rPr>
          <w:rFonts w:eastAsia="Times New Roman" w:cstheme="minorHAnsi"/>
          <w:color w:val="000000"/>
          <w:sz w:val="24"/>
          <w:szCs w:val="24"/>
          <w:lang w:eastAsia="en-GB"/>
        </w:rPr>
        <w:t>Investments will grow tax</w:t>
      </w:r>
      <w:r w:rsidR="003F56D3">
        <w:rPr>
          <w:rFonts w:eastAsia="Times New Roman" w:cstheme="minorHAnsi"/>
          <w:color w:val="000000"/>
          <w:sz w:val="24"/>
          <w:szCs w:val="24"/>
          <w:lang w:eastAsia="en-GB"/>
        </w:rPr>
        <w:t>-</w:t>
      </w:r>
      <w:r w:rsidRPr="00E20D83">
        <w:rPr>
          <w:rFonts w:eastAsia="Times New Roman" w:cstheme="minorHAnsi"/>
          <w:color w:val="000000"/>
          <w:sz w:val="24"/>
          <w:szCs w:val="24"/>
          <w:lang w:eastAsia="en-GB"/>
        </w:rPr>
        <w:t>free</w:t>
      </w:r>
    </w:p>
    <w:p w14:paraId="66D5F1AE" w14:textId="7B2D6B7D" w:rsidR="00E20D83" w:rsidRPr="00E20D83" w:rsidRDefault="00E20D83" w:rsidP="00CF47A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E20D83">
        <w:rPr>
          <w:rFonts w:eastAsia="Times New Roman" w:cstheme="minorHAnsi"/>
          <w:color w:val="000000"/>
          <w:sz w:val="24"/>
          <w:szCs w:val="24"/>
          <w:lang w:eastAsia="en-GB"/>
        </w:rPr>
        <w:t>The drawdowns will have a tax-free lump sum of up to 25% of the fund, with the balance subject to income tax, and with Revenue to apply ‘trivial pensions’ treatment where appropriate</w:t>
      </w:r>
    </w:p>
    <w:p w14:paraId="7D24DE9E" w14:textId="77777777" w:rsidR="00A0074F" w:rsidRDefault="00A0074F" w:rsidP="005B77EA">
      <w:pPr>
        <w:shd w:val="clear" w:color="auto" w:fill="FFFFFF"/>
        <w:spacing w:after="15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bookmarkStart w:id="2" w:name="general-questions"/>
      <w:bookmarkStart w:id="3" w:name="when-auto-enrolment-will-be-introduced"/>
      <w:bookmarkStart w:id="4" w:name="who-will-run-the-auto-enrolment-retireme"/>
      <w:bookmarkEnd w:id="2"/>
      <w:bookmarkEnd w:id="3"/>
      <w:bookmarkEnd w:id="4"/>
    </w:p>
    <w:p w14:paraId="69F9D6DF" w14:textId="77777777" w:rsidR="00CF47A5" w:rsidRDefault="00CF47A5" w:rsidP="005B77EA">
      <w:pPr>
        <w:shd w:val="clear" w:color="auto" w:fill="FFFFFF"/>
        <w:spacing w:after="15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2F93A4D2" w14:textId="77777777" w:rsidR="00CF47A5" w:rsidRDefault="00CF47A5" w:rsidP="005B77EA">
      <w:pPr>
        <w:shd w:val="clear" w:color="auto" w:fill="FFFFFF"/>
        <w:spacing w:after="15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41FBD854" w14:textId="77777777" w:rsidR="00CF47A5" w:rsidRDefault="00CF47A5" w:rsidP="005B77EA">
      <w:pPr>
        <w:shd w:val="clear" w:color="auto" w:fill="FFFFFF"/>
        <w:spacing w:after="15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</w:p>
    <w:p w14:paraId="0B8340EC" w14:textId="65B2BBBD" w:rsidR="005B77EA" w:rsidRDefault="005B77EA" w:rsidP="005B77EA">
      <w:pPr>
        <w:shd w:val="clear" w:color="auto" w:fill="FFFFFF"/>
        <w:spacing w:after="15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6D7D3E">
        <w:rPr>
          <w:rFonts w:eastAsia="Times New Roman" w:cstheme="minorHAnsi"/>
          <w:b/>
          <w:color w:val="000000"/>
          <w:sz w:val="24"/>
          <w:szCs w:val="24"/>
          <w:lang w:eastAsia="en-GB"/>
        </w:rPr>
        <w:lastRenderedPageBreak/>
        <w:t>Contribution Rates</w:t>
      </w:r>
    </w:p>
    <w:p w14:paraId="3F3577EB" w14:textId="57B76F58" w:rsidR="00A577B4" w:rsidRPr="00585D79" w:rsidRDefault="00585D79" w:rsidP="005B77EA">
      <w:pPr>
        <w:shd w:val="clear" w:color="auto" w:fill="FFFFFF"/>
        <w:spacing w:after="150" w:line="240" w:lineRule="auto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n-GB"/>
        </w:rPr>
        <w:t>The employee, employer and the State will contribu</w:t>
      </w:r>
      <w:r w:rsidR="00645221">
        <w:rPr>
          <w:rFonts w:eastAsia="Times New Roman" w:cstheme="minorHAnsi"/>
          <w:bCs/>
          <w:color w:val="000000"/>
          <w:sz w:val="24"/>
          <w:szCs w:val="24"/>
          <w:lang w:eastAsia="en-GB"/>
        </w:rPr>
        <w:t>te</w:t>
      </w:r>
      <w:r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a percentage of gross salary as per </w:t>
      </w:r>
      <w:r w:rsidR="00645221">
        <w:rPr>
          <w:rFonts w:eastAsia="Times New Roman" w:cstheme="minorHAnsi"/>
          <w:bCs/>
          <w:color w:val="000000"/>
          <w:sz w:val="24"/>
          <w:szCs w:val="24"/>
          <w:lang w:eastAsia="en-GB"/>
        </w:rPr>
        <w:t>t</w:t>
      </w:r>
      <w:r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he table below.  The years refer to the years the scheme is active and do not refer to </w:t>
      </w:r>
      <w:r w:rsidR="00320B88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the </w:t>
      </w:r>
      <w:r w:rsidR="00645221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employee’s years of service </w:t>
      </w:r>
      <w:r>
        <w:rPr>
          <w:rFonts w:eastAsia="Times New Roman" w:cstheme="minorHAnsi"/>
          <w:bCs/>
          <w:color w:val="000000"/>
          <w:sz w:val="24"/>
          <w:szCs w:val="24"/>
          <w:lang w:eastAsia="en-GB"/>
        </w:rPr>
        <w:t>or the year the employee joins the scheme.</w:t>
      </w:r>
    </w:p>
    <w:p w14:paraId="455E5242" w14:textId="77777777" w:rsidR="005B77EA" w:rsidRPr="006D7D3E" w:rsidRDefault="005B77EA" w:rsidP="005B77EA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>Years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  <w:t>Employee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  <w:t>Employer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  <w:t>State</w:t>
      </w:r>
    </w:p>
    <w:p w14:paraId="4E86947A" w14:textId="77777777" w:rsidR="005B77EA" w:rsidRPr="006D7D3E" w:rsidRDefault="005B77EA" w:rsidP="005B77EA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>1 – 3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  <w:t>1.5%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  <w:t>1.5%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  <w:t>.5%</w:t>
      </w:r>
    </w:p>
    <w:p w14:paraId="1BFAF8BE" w14:textId="77777777" w:rsidR="005B77EA" w:rsidRPr="006D7D3E" w:rsidRDefault="005B77EA" w:rsidP="005B77EA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>4 – 6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  <w:t>3%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  <w:t>3%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  <w:t>1%</w:t>
      </w:r>
    </w:p>
    <w:p w14:paraId="0625647F" w14:textId="77777777" w:rsidR="005B77EA" w:rsidRPr="006D7D3E" w:rsidRDefault="005B77EA" w:rsidP="005B77EA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>7 – 9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  <w:t>4.5%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  <w:t>4.5%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  <w:t>1.5%</w:t>
      </w:r>
    </w:p>
    <w:p w14:paraId="638D1CF3" w14:textId="77777777" w:rsidR="005B77EA" w:rsidRPr="006D7D3E" w:rsidRDefault="005B77EA" w:rsidP="005B77EA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>Year 10+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  <w:t>6%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  <w:t>6%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ab/>
        <w:t>2%</w:t>
      </w:r>
    </w:p>
    <w:p w14:paraId="5AD4128F" w14:textId="77777777" w:rsidR="005D5B2B" w:rsidRDefault="005D5B2B" w:rsidP="0087230E">
      <w:pPr>
        <w:pStyle w:val="NoSpacing"/>
        <w:rPr>
          <w:bCs/>
          <w:sz w:val="24"/>
          <w:szCs w:val="24"/>
          <w:lang w:eastAsia="en-GB"/>
        </w:rPr>
      </w:pPr>
    </w:p>
    <w:p w14:paraId="6DB5247A" w14:textId="2FF7DFC5" w:rsidR="00A0074F" w:rsidRPr="006D7D3E" w:rsidRDefault="00A0074F" w:rsidP="00A0074F">
      <w:pPr>
        <w:shd w:val="clear" w:color="auto" w:fill="FFFFFF"/>
        <w:spacing w:after="150" w:line="240" w:lineRule="auto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6D7D3E">
        <w:rPr>
          <w:rFonts w:eastAsia="Times New Roman" w:cstheme="minorHAnsi"/>
          <w:b/>
          <w:color w:val="000000"/>
          <w:sz w:val="24"/>
          <w:szCs w:val="24"/>
          <w:lang w:eastAsia="en-GB"/>
        </w:rPr>
        <w:t>The</w:t>
      </w:r>
      <w:r w:rsidR="00261B8A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</w:t>
      </w:r>
      <w:r w:rsidRPr="006D7D3E">
        <w:rPr>
          <w:rFonts w:eastAsia="Times New Roman" w:cstheme="minorHAnsi"/>
          <w:b/>
          <w:color w:val="000000"/>
          <w:sz w:val="24"/>
          <w:szCs w:val="24"/>
          <w:lang w:eastAsia="en-GB"/>
        </w:rPr>
        <w:t>Portal</w:t>
      </w:r>
    </w:p>
    <w:p w14:paraId="5046E88A" w14:textId="50EBC6A4" w:rsidR="00A0074F" w:rsidRDefault="00A0074F" w:rsidP="00A0074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>NAERSA will operate an online portal</w:t>
      </w:r>
      <w:r w:rsidR="006266E1" w:rsidRPr="000151D8">
        <w:rPr>
          <w:rFonts w:eastAsia="Times New Roman" w:cstheme="minorHAnsi"/>
          <w:sz w:val="24"/>
          <w:szCs w:val="24"/>
          <w:lang w:eastAsia="en-GB"/>
        </w:rPr>
        <w:t xml:space="preserve"> available </w:t>
      </w:r>
      <w:r w:rsidR="00C2183B">
        <w:rPr>
          <w:rFonts w:eastAsia="Times New Roman" w:cstheme="minorHAnsi"/>
          <w:sz w:val="24"/>
          <w:szCs w:val="24"/>
          <w:lang w:eastAsia="en-GB"/>
        </w:rPr>
        <w:t xml:space="preserve">for </w:t>
      </w:r>
      <w:r w:rsidR="006266E1" w:rsidRPr="000151D8">
        <w:rPr>
          <w:rFonts w:eastAsia="Times New Roman" w:cstheme="minorHAnsi"/>
          <w:sz w:val="24"/>
          <w:szCs w:val="24"/>
          <w:lang w:eastAsia="en-GB"/>
        </w:rPr>
        <w:t xml:space="preserve">participants, allowing them to </w:t>
      </w:r>
      <w:r w:rsidR="009C757F" w:rsidRPr="000151D8">
        <w:rPr>
          <w:rFonts w:eastAsia="Times New Roman" w:cstheme="minorHAnsi"/>
          <w:sz w:val="24"/>
          <w:szCs w:val="24"/>
          <w:lang w:eastAsia="en-GB"/>
        </w:rPr>
        <w:t>l</w:t>
      </w:r>
      <w:r w:rsidR="006266E1" w:rsidRPr="000151D8">
        <w:rPr>
          <w:rFonts w:eastAsia="Times New Roman" w:cstheme="minorHAnsi"/>
          <w:sz w:val="24"/>
          <w:szCs w:val="24"/>
          <w:lang w:eastAsia="en-GB"/>
        </w:rPr>
        <w:t>og in usin</w:t>
      </w:r>
      <w:r w:rsidR="009C757F" w:rsidRPr="000151D8">
        <w:rPr>
          <w:rFonts w:eastAsia="Times New Roman" w:cstheme="minorHAnsi"/>
          <w:sz w:val="24"/>
          <w:szCs w:val="24"/>
          <w:lang w:eastAsia="en-GB"/>
        </w:rPr>
        <w:t>g</w:t>
      </w:r>
      <w:r w:rsidRPr="000151D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0151D8">
        <w:rPr>
          <w:rFonts w:eastAsia="Times New Roman" w:cstheme="minorHAnsi"/>
          <w:sz w:val="24"/>
          <w:szCs w:val="24"/>
          <w:lang w:eastAsia="en-GB"/>
        </w:rPr>
        <w:t>MyGovID</w:t>
      </w:r>
      <w:proofErr w:type="spellEnd"/>
      <w:r w:rsidRPr="000151D8">
        <w:rPr>
          <w:rFonts w:eastAsia="Times New Roman" w:cstheme="minorHAnsi"/>
          <w:sz w:val="24"/>
          <w:szCs w:val="24"/>
          <w:lang w:eastAsia="en-GB"/>
        </w:rPr>
        <w:t xml:space="preserve"> credentials</w:t>
      </w:r>
      <w:r w:rsidR="009C757F" w:rsidRPr="000151D8">
        <w:rPr>
          <w:rFonts w:eastAsia="Times New Roman" w:cstheme="minorHAnsi"/>
          <w:sz w:val="24"/>
          <w:szCs w:val="24"/>
          <w:lang w:eastAsia="en-GB"/>
        </w:rPr>
        <w:t xml:space="preserve">. They will be </w:t>
      </w:r>
      <w:r w:rsidRPr="000151D8">
        <w:rPr>
          <w:rFonts w:eastAsia="Times New Roman" w:cstheme="minorHAnsi"/>
          <w:sz w:val="24"/>
          <w:szCs w:val="24"/>
          <w:lang w:eastAsia="en-GB"/>
        </w:rPr>
        <w:t xml:space="preserve">able to view their savings, including 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contributions </w:t>
      </w:r>
      <w:r w:rsidR="008A344D">
        <w:rPr>
          <w:rFonts w:eastAsia="Times New Roman" w:cstheme="minorHAnsi"/>
          <w:color w:val="000000"/>
          <w:sz w:val="24"/>
          <w:szCs w:val="24"/>
          <w:lang w:eastAsia="en-GB"/>
        </w:rPr>
        <w:t>made by them, t</w:t>
      </w:r>
      <w:r w:rsidR="007552E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he employer and the State. 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>They will also be able to use the portal to exercise their right to opt out</w:t>
      </w:r>
      <w:r w:rsidR="000151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or </w:t>
      </w:r>
      <w:r w:rsidRPr="006D7D3E">
        <w:rPr>
          <w:rFonts w:eastAsia="Times New Roman" w:cstheme="minorHAnsi"/>
          <w:color w:val="000000"/>
          <w:sz w:val="24"/>
          <w:szCs w:val="24"/>
          <w:lang w:eastAsia="en-GB"/>
        </w:rPr>
        <w:t>suspend contributions</w:t>
      </w:r>
      <w:r w:rsidR="003F56D3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5FACA4C2" w14:textId="77777777" w:rsidR="005D5B2B" w:rsidRDefault="005D5B2B" w:rsidP="0087230E">
      <w:pPr>
        <w:pStyle w:val="NoSpacing"/>
        <w:rPr>
          <w:bCs/>
          <w:sz w:val="24"/>
          <w:szCs w:val="24"/>
          <w:lang w:eastAsia="en-GB"/>
        </w:rPr>
      </w:pPr>
    </w:p>
    <w:p w14:paraId="59E61AE5" w14:textId="77777777" w:rsidR="00A0074F" w:rsidRDefault="00A0074F" w:rsidP="00A0074F">
      <w:pPr>
        <w:pStyle w:val="NoSpacing"/>
        <w:rPr>
          <w:b/>
          <w:bCs/>
          <w:sz w:val="24"/>
          <w:szCs w:val="24"/>
          <w:lang w:val="en-IE" w:eastAsia="en-GB"/>
        </w:rPr>
      </w:pPr>
      <w:r w:rsidRPr="00DC29AC">
        <w:rPr>
          <w:b/>
          <w:bCs/>
          <w:sz w:val="24"/>
          <w:szCs w:val="24"/>
          <w:lang w:val="en-IE" w:eastAsia="en-GB"/>
        </w:rPr>
        <w:t>Further Information</w:t>
      </w:r>
    </w:p>
    <w:p w14:paraId="5C398342" w14:textId="77777777" w:rsidR="00A0074F" w:rsidRDefault="00A0074F" w:rsidP="00A0074F">
      <w:pPr>
        <w:pStyle w:val="NoSpacing"/>
        <w:rPr>
          <w:b/>
          <w:bCs/>
          <w:sz w:val="24"/>
          <w:szCs w:val="24"/>
          <w:lang w:val="en-IE" w:eastAsia="en-GB"/>
        </w:rPr>
      </w:pPr>
    </w:p>
    <w:p w14:paraId="2272AA52" w14:textId="77777777" w:rsidR="00A0074F" w:rsidRPr="00A0074F" w:rsidRDefault="00A0074F" w:rsidP="00A0074F">
      <w:pPr>
        <w:pStyle w:val="NoSpacing"/>
        <w:rPr>
          <w:bCs/>
          <w:sz w:val="24"/>
          <w:szCs w:val="24"/>
          <w:lang w:eastAsia="en-GB"/>
        </w:rPr>
      </w:pPr>
      <w:r w:rsidRPr="00A0074F">
        <w:rPr>
          <w:bCs/>
          <w:sz w:val="24"/>
          <w:szCs w:val="24"/>
          <w:lang w:eastAsia="en-GB"/>
        </w:rPr>
        <w:t xml:space="preserve">Further details of the scheme are available on </w:t>
      </w:r>
      <w:hyperlink r:id="rId6" w:history="1">
        <w:r w:rsidRPr="00A0074F">
          <w:rPr>
            <w:rStyle w:val="Hyperlink"/>
            <w:rFonts w:eastAsia="Times New Roman" w:cstheme="minorHAnsi"/>
            <w:bCs/>
            <w:spacing w:val="2"/>
            <w:sz w:val="24"/>
            <w:szCs w:val="24"/>
            <w:lang w:eastAsia="en-GB"/>
          </w:rPr>
          <w:t>www.gov.ie/autoe</w:t>
        </w:r>
        <w:r w:rsidRPr="00A0074F">
          <w:rPr>
            <w:rStyle w:val="Hyperlink"/>
            <w:rFonts w:eastAsia="Times New Roman" w:cstheme="minorHAnsi"/>
            <w:bCs/>
            <w:spacing w:val="2"/>
            <w:sz w:val="24"/>
            <w:szCs w:val="24"/>
            <w:lang w:eastAsia="en-GB"/>
          </w:rPr>
          <w:t>n</w:t>
        </w:r>
        <w:r w:rsidRPr="00A0074F">
          <w:rPr>
            <w:rStyle w:val="Hyperlink"/>
            <w:rFonts w:eastAsia="Times New Roman" w:cstheme="minorHAnsi"/>
            <w:bCs/>
            <w:spacing w:val="2"/>
            <w:sz w:val="24"/>
            <w:szCs w:val="24"/>
            <w:lang w:eastAsia="en-GB"/>
          </w:rPr>
          <w:t>rolment</w:t>
        </w:r>
      </w:hyperlink>
    </w:p>
    <w:p w14:paraId="7288F77C" w14:textId="77777777" w:rsidR="00A0074F" w:rsidRPr="00DC29AC" w:rsidRDefault="00A0074F" w:rsidP="00A0074F">
      <w:pPr>
        <w:pStyle w:val="NoSpacing"/>
        <w:rPr>
          <w:sz w:val="24"/>
          <w:szCs w:val="24"/>
          <w:lang w:val="en-IE" w:eastAsia="en-GB"/>
        </w:rPr>
      </w:pPr>
    </w:p>
    <w:p w14:paraId="3E8A4782" w14:textId="77777777" w:rsidR="00A0074F" w:rsidRDefault="00A0074F" w:rsidP="0087230E">
      <w:pPr>
        <w:pStyle w:val="NoSpacing"/>
        <w:rPr>
          <w:bCs/>
          <w:sz w:val="24"/>
          <w:szCs w:val="24"/>
          <w:lang w:eastAsia="en-GB"/>
        </w:rPr>
      </w:pPr>
    </w:p>
    <w:p w14:paraId="6D42EDB8" w14:textId="77777777" w:rsidR="00864613" w:rsidRDefault="00864613" w:rsidP="00864613">
      <w:pPr>
        <w:pStyle w:val="NoSpacing"/>
        <w:rPr>
          <w:sz w:val="24"/>
          <w:szCs w:val="24"/>
          <w:lang w:eastAsia="en-GB"/>
        </w:rPr>
      </w:pPr>
    </w:p>
    <w:p w14:paraId="46AD5A1B" w14:textId="77777777" w:rsidR="008B1CE9" w:rsidRDefault="008B1CE9" w:rsidP="00864613">
      <w:pPr>
        <w:pStyle w:val="NoSpacing"/>
        <w:rPr>
          <w:sz w:val="24"/>
          <w:szCs w:val="24"/>
          <w:lang w:eastAsia="en-GB"/>
        </w:rPr>
      </w:pPr>
    </w:p>
    <w:p w14:paraId="133EBCAF" w14:textId="77777777" w:rsidR="008B1CE9" w:rsidRDefault="008B1CE9" w:rsidP="00864613">
      <w:pPr>
        <w:pStyle w:val="NoSpacing"/>
        <w:rPr>
          <w:sz w:val="24"/>
          <w:szCs w:val="24"/>
          <w:lang w:eastAsia="en-GB"/>
        </w:rPr>
      </w:pPr>
    </w:p>
    <w:p w14:paraId="73095B63" w14:textId="464D800B" w:rsidR="008B1CE9" w:rsidRDefault="00D05573" w:rsidP="00E23BF2">
      <w:pPr>
        <w:pStyle w:val="NoSpacing"/>
        <w:jc w:val="right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Human Resources </w:t>
      </w:r>
    </w:p>
    <w:p w14:paraId="55BCC401" w14:textId="288D6213" w:rsidR="00E23BF2" w:rsidRDefault="00D01BEE" w:rsidP="00DC29AC">
      <w:pPr>
        <w:pStyle w:val="NoSpacing"/>
        <w:jc w:val="right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January 2026</w:t>
      </w:r>
    </w:p>
    <w:p w14:paraId="5B66D895" w14:textId="77777777" w:rsidR="00DC29AC" w:rsidRDefault="00DC29AC" w:rsidP="00DC29AC">
      <w:pPr>
        <w:pStyle w:val="NoSpacing"/>
        <w:jc w:val="right"/>
        <w:rPr>
          <w:sz w:val="24"/>
          <w:szCs w:val="24"/>
          <w:lang w:eastAsia="en-GB"/>
        </w:rPr>
      </w:pPr>
    </w:p>
    <w:p w14:paraId="0C03C88F" w14:textId="77777777" w:rsidR="00DC29AC" w:rsidRDefault="00DC29AC" w:rsidP="00DC29AC">
      <w:pPr>
        <w:pStyle w:val="NoSpacing"/>
        <w:jc w:val="right"/>
        <w:rPr>
          <w:sz w:val="24"/>
          <w:szCs w:val="24"/>
          <w:lang w:eastAsia="en-GB"/>
        </w:rPr>
      </w:pPr>
    </w:p>
    <w:p w14:paraId="7FC8CCD5" w14:textId="77777777" w:rsidR="00DC29AC" w:rsidRDefault="00DC29AC" w:rsidP="00DC29AC">
      <w:pPr>
        <w:pStyle w:val="NoSpacing"/>
        <w:rPr>
          <w:sz w:val="24"/>
          <w:szCs w:val="24"/>
          <w:lang w:eastAsia="en-GB"/>
        </w:rPr>
      </w:pPr>
    </w:p>
    <w:p w14:paraId="6B1F41F2" w14:textId="77777777" w:rsidR="00DC29AC" w:rsidRPr="00864613" w:rsidRDefault="00DC29AC" w:rsidP="00E23BF2">
      <w:pPr>
        <w:pStyle w:val="NoSpacing"/>
        <w:jc w:val="right"/>
        <w:rPr>
          <w:sz w:val="24"/>
          <w:szCs w:val="24"/>
          <w:lang w:eastAsia="en-GB"/>
        </w:rPr>
      </w:pPr>
    </w:p>
    <w:sectPr w:rsidR="00DC29AC" w:rsidRPr="00864613" w:rsidSect="00BA7561">
      <w:pgSz w:w="11906" w:h="16838"/>
      <w:pgMar w:top="425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760A"/>
    <w:multiLevelType w:val="multilevel"/>
    <w:tmpl w:val="564E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81552"/>
    <w:multiLevelType w:val="multilevel"/>
    <w:tmpl w:val="27EA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100D5"/>
    <w:multiLevelType w:val="multilevel"/>
    <w:tmpl w:val="59E4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75F01"/>
    <w:multiLevelType w:val="hybridMultilevel"/>
    <w:tmpl w:val="F816EC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A35AB"/>
    <w:multiLevelType w:val="multilevel"/>
    <w:tmpl w:val="576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C632F6"/>
    <w:multiLevelType w:val="hybridMultilevel"/>
    <w:tmpl w:val="94A27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56E47"/>
    <w:multiLevelType w:val="multilevel"/>
    <w:tmpl w:val="EDB8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A750C"/>
    <w:multiLevelType w:val="hybridMultilevel"/>
    <w:tmpl w:val="1D4A2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9549E"/>
    <w:multiLevelType w:val="multilevel"/>
    <w:tmpl w:val="EB6A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32C80"/>
    <w:multiLevelType w:val="multilevel"/>
    <w:tmpl w:val="BF7A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D53FF0"/>
    <w:multiLevelType w:val="multilevel"/>
    <w:tmpl w:val="205E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236344">
    <w:abstractNumId w:val="8"/>
  </w:num>
  <w:num w:numId="2" w16cid:durableId="923879090">
    <w:abstractNumId w:val="1"/>
  </w:num>
  <w:num w:numId="3" w16cid:durableId="1330209073">
    <w:abstractNumId w:val="0"/>
  </w:num>
  <w:num w:numId="4" w16cid:durableId="1033773350">
    <w:abstractNumId w:val="2"/>
  </w:num>
  <w:num w:numId="5" w16cid:durableId="562527427">
    <w:abstractNumId w:val="9"/>
  </w:num>
  <w:num w:numId="6" w16cid:durableId="560289773">
    <w:abstractNumId w:val="7"/>
  </w:num>
  <w:num w:numId="7" w16cid:durableId="645596542">
    <w:abstractNumId w:val="3"/>
  </w:num>
  <w:num w:numId="8" w16cid:durableId="543561146">
    <w:abstractNumId w:val="4"/>
  </w:num>
  <w:num w:numId="9" w16cid:durableId="1246038359">
    <w:abstractNumId w:val="6"/>
  </w:num>
  <w:num w:numId="10" w16cid:durableId="122310659">
    <w:abstractNumId w:val="10"/>
  </w:num>
  <w:num w:numId="11" w16cid:durableId="1685668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58"/>
    <w:rsid w:val="00013A09"/>
    <w:rsid w:val="000151D8"/>
    <w:rsid w:val="00061772"/>
    <w:rsid w:val="00087724"/>
    <w:rsid w:val="000B1B1E"/>
    <w:rsid w:val="000C5B4E"/>
    <w:rsid w:val="000D2F24"/>
    <w:rsid w:val="000E2A7D"/>
    <w:rsid w:val="0012766E"/>
    <w:rsid w:val="00195328"/>
    <w:rsid w:val="001F1F5E"/>
    <w:rsid w:val="001F6BC8"/>
    <w:rsid w:val="00201AAF"/>
    <w:rsid w:val="00204C6B"/>
    <w:rsid w:val="00207B22"/>
    <w:rsid w:val="00261B8A"/>
    <w:rsid w:val="002F3EAB"/>
    <w:rsid w:val="00317126"/>
    <w:rsid w:val="00320B88"/>
    <w:rsid w:val="00341BB8"/>
    <w:rsid w:val="0036401B"/>
    <w:rsid w:val="00392F1A"/>
    <w:rsid w:val="003B1281"/>
    <w:rsid w:val="003C036F"/>
    <w:rsid w:val="003C3119"/>
    <w:rsid w:val="003F56D3"/>
    <w:rsid w:val="004023EA"/>
    <w:rsid w:val="0043490D"/>
    <w:rsid w:val="004533B5"/>
    <w:rsid w:val="00466223"/>
    <w:rsid w:val="004675F7"/>
    <w:rsid w:val="004740B7"/>
    <w:rsid w:val="00484DBD"/>
    <w:rsid w:val="004A431C"/>
    <w:rsid w:val="004D3B22"/>
    <w:rsid w:val="004F3FB3"/>
    <w:rsid w:val="005507C8"/>
    <w:rsid w:val="00585D79"/>
    <w:rsid w:val="005A1400"/>
    <w:rsid w:val="005B77EA"/>
    <w:rsid w:val="005D5B2B"/>
    <w:rsid w:val="006266E1"/>
    <w:rsid w:val="00645221"/>
    <w:rsid w:val="00674BDB"/>
    <w:rsid w:val="00694B49"/>
    <w:rsid w:val="006B3D52"/>
    <w:rsid w:val="006C092C"/>
    <w:rsid w:val="006C2581"/>
    <w:rsid w:val="006C741E"/>
    <w:rsid w:val="006D7D3E"/>
    <w:rsid w:val="006F153E"/>
    <w:rsid w:val="00707C88"/>
    <w:rsid w:val="007552E3"/>
    <w:rsid w:val="007D141D"/>
    <w:rsid w:val="007D2256"/>
    <w:rsid w:val="0081172B"/>
    <w:rsid w:val="00835DBB"/>
    <w:rsid w:val="00864613"/>
    <w:rsid w:val="0087230E"/>
    <w:rsid w:val="00876B1E"/>
    <w:rsid w:val="008A344D"/>
    <w:rsid w:val="008B1CE9"/>
    <w:rsid w:val="008B5345"/>
    <w:rsid w:val="008C7CA9"/>
    <w:rsid w:val="00943BE0"/>
    <w:rsid w:val="0097667A"/>
    <w:rsid w:val="00985A67"/>
    <w:rsid w:val="009C757F"/>
    <w:rsid w:val="00A0074F"/>
    <w:rsid w:val="00A0421A"/>
    <w:rsid w:val="00A23A77"/>
    <w:rsid w:val="00A577B4"/>
    <w:rsid w:val="00A60BDF"/>
    <w:rsid w:val="00A93F61"/>
    <w:rsid w:val="00AD3BC7"/>
    <w:rsid w:val="00AE2EFB"/>
    <w:rsid w:val="00B10BB4"/>
    <w:rsid w:val="00B4735A"/>
    <w:rsid w:val="00BA2679"/>
    <w:rsid w:val="00BA4FF0"/>
    <w:rsid w:val="00BA7561"/>
    <w:rsid w:val="00C2183B"/>
    <w:rsid w:val="00C4342C"/>
    <w:rsid w:val="00C4449C"/>
    <w:rsid w:val="00CF47A5"/>
    <w:rsid w:val="00D01BEE"/>
    <w:rsid w:val="00D05573"/>
    <w:rsid w:val="00D271F7"/>
    <w:rsid w:val="00D4648C"/>
    <w:rsid w:val="00D775A2"/>
    <w:rsid w:val="00D77637"/>
    <w:rsid w:val="00DB27D2"/>
    <w:rsid w:val="00DB7F4F"/>
    <w:rsid w:val="00DC29AC"/>
    <w:rsid w:val="00DC6BAC"/>
    <w:rsid w:val="00DE20BD"/>
    <w:rsid w:val="00E06B41"/>
    <w:rsid w:val="00E20D83"/>
    <w:rsid w:val="00E23BF2"/>
    <w:rsid w:val="00E531C1"/>
    <w:rsid w:val="00E629A0"/>
    <w:rsid w:val="00EA6998"/>
    <w:rsid w:val="00F052AE"/>
    <w:rsid w:val="00F07E40"/>
    <w:rsid w:val="00F21815"/>
    <w:rsid w:val="00F66358"/>
    <w:rsid w:val="00F81797"/>
    <w:rsid w:val="00F83498"/>
    <w:rsid w:val="00FC09D7"/>
    <w:rsid w:val="00FC1709"/>
    <w:rsid w:val="00FD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14D55"/>
  <w15:chartTrackingRefBased/>
  <w15:docId w15:val="{CC0D953A-6DF2-4728-96FD-876A86BD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342C"/>
    <w:rPr>
      <w:b/>
      <w:bCs/>
    </w:rPr>
  </w:style>
  <w:style w:type="character" w:styleId="Hyperlink">
    <w:name w:val="Hyperlink"/>
    <w:basedOn w:val="DefaultParagraphFont"/>
    <w:uiPriority w:val="99"/>
    <w:unhideWhenUsed/>
    <w:rsid w:val="00207B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7B2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75A2"/>
    <w:pPr>
      <w:ind w:left="720"/>
      <w:contextualSpacing/>
    </w:pPr>
  </w:style>
  <w:style w:type="paragraph" w:styleId="NoSpacing">
    <w:name w:val="No Spacing"/>
    <w:uiPriority w:val="1"/>
    <w:qFormat/>
    <w:rsid w:val="0086461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0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7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7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7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8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6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91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43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90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21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3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4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86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57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42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3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94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2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5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97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72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46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98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1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78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5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76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1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29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7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1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3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ie/autoenrolmen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Dublin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Coyle</dc:creator>
  <cp:keywords/>
  <dc:description/>
  <cp:lastModifiedBy>Patricia Coyle</cp:lastModifiedBy>
  <cp:revision>48</cp:revision>
  <cp:lastPrinted>2025-11-23T13:58:00Z</cp:lastPrinted>
  <dcterms:created xsi:type="dcterms:W3CDTF">2025-11-23T13:04:00Z</dcterms:created>
  <dcterms:modified xsi:type="dcterms:W3CDTF">2026-01-16T04:47:00Z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a6e74f6d-653c-4b5e-9d57-cb874cfe28ae</vt:lpwstr>
  </property>
</Properties>
</file>